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F6AAC" w14:textId="3D3FF20C" w:rsidR="003065E2" w:rsidRPr="000A154B" w:rsidRDefault="003065E2" w:rsidP="000A154B">
      <w:pPr>
        <w:spacing w:line="480" w:lineRule="auto"/>
        <w:jc w:val="center"/>
        <w:rPr>
          <w:rFonts w:ascii="Arial" w:hAnsi="Arial" w:cs="Arial"/>
          <w:b/>
          <w:sz w:val="28"/>
          <w:szCs w:val="24"/>
        </w:rPr>
      </w:pPr>
      <w:r w:rsidRPr="000A154B">
        <w:rPr>
          <w:rFonts w:ascii="Arial" w:hAnsi="Arial" w:cs="Arial"/>
          <w:b/>
          <w:sz w:val="28"/>
          <w:szCs w:val="24"/>
        </w:rPr>
        <w:t>Las dimensiones</w:t>
      </w:r>
      <w:r w:rsidR="000A154B" w:rsidRPr="000A154B">
        <w:rPr>
          <w:rFonts w:ascii="Arial" w:hAnsi="Arial" w:cs="Arial"/>
          <w:b/>
          <w:sz w:val="28"/>
          <w:szCs w:val="24"/>
        </w:rPr>
        <w:t xml:space="preserve"> ontológica, metodológica y epistemológica</w:t>
      </w:r>
      <w:r w:rsidRPr="000A154B">
        <w:rPr>
          <w:rFonts w:ascii="Arial" w:hAnsi="Arial" w:cs="Arial"/>
          <w:b/>
          <w:sz w:val="28"/>
          <w:szCs w:val="24"/>
        </w:rPr>
        <w:t xml:space="preserve"> de los estudios de género en México: </w:t>
      </w:r>
      <w:r w:rsidRPr="000A154B">
        <w:rPr>
          <w:rFonts w:ascii="Arial" w:hAnsi="Arial" w:cs="Arial"/>
          <w:b/>
          <w:i/>
          <w:sz w:val="28"/>
          <w:szCs w:val="24"/>
        </w:rPr>
        <w:t>una aproximación al estado del arte</w:t>
      </w:r>
    </w:p>
    <w:p w14:paraId="255C22A0" w14:textId="77777777" w:rsidR="003065E2" w:rsidRPr="000A154B" w:rsidRDefault="003065E2" w:rsidP="00076530">
      <w:pPr>
        <w:spacing w:after="0" w:line="240" w:lineRule="auto"/>
        <w:jc w:val="right"/>
        <w:rPr>
          <w:rFonts w:ascii="Arial" w:hAnsi="Arial" w:cs="Arial"/>
          <w:b/>
          <w:sz w:val="20"/>
          <w:szCs w:val="24"/>
        </w:rPr>
      </w:pPr>
      <w:r w:rsidRPr="000A154B">
        <w:rPr>
          <w:rFonts w:ascii="Arial" w:hAnsi="Arial" w:cs="Arial"/>
          <w:b/>
          <w:sz w:val="20"/>
          <w:szCs w:val="24"/>
        </w:rPr>
        <w:t>Alma Angelina Villa Domínguez</w:t>
      </w:r>
    </w:p>
    <w:p w14:paraId="5AA91B4E" w14:textId="77777777" w:rsidR="003065E2" w:rsidRDefault="003065E2" w:rsidP="00076530">
      <w:pPr>
        <w:spacing w:after="0" w:line="240" w:lineRule="auto"/>
        <w:jc w:val="right"/>
        <w:rPr>
          <w:rFonts w:ascii="Arial" w:hAnsi="Arial" w:cs="Arial"/>
          <w:i/>
          <w:sz w:val="20"/>
          <w:szCs w:val="24"/>
        </w:rPr>
      </w:pPr>
      <w:r w:rsidRPr="000A154B">
        <w:rPr>
          <w:rFonts w:ascii="Arial" w:hAnsi="Arial" w:cs="Arial"/>
          <w:i/>
          <w:sz w:val="20"/>
          <w:szCs w:val="24"/>
        </w:rPr>
        <w:t>Universidad Autónoma de Sinaloa</w:t>
      </w:r>
    </w:p>
    <w:p w14:paraId="31302422" w14:textId="04A5A6E4" w:rsidR="00076530" w:rsidRPr="00076530" w:rsidRDefault="00821760" w:rsidP="00076530">
      <w:pPr>
        <w:spacing w:after="0" w:line="240" w:lineRule="auto"/>
        <w:jc w:val="right"/>
        <w:rPr>
          <w:rFonts w:ascii="Arial" w:hAnsi="Arial" w:cs="Arial"/>
          <w:sz w:val="20"/>
          <w:szCs w:val="24"/>
        </w:rPr>
      </w:pPr>
      <w:hyperlink r:id="rId6" w:history="1">
        <w:r w:rsidR="00076530" w:rsidRPr="00B44026">
          <w:rPr>
            <w:rStyle w:val="Hipervnculo"/>
            <w:rFonts w:ascii="Arial" w:hAnsi="Arial" w:cs="Arial"/>
            <w:sz w:val="20"/>
            <w:szCs w:val="24"/>
          </w:rPr>
          <w:t>almavilla@hotmail.com</w:t>
        </w:r>
      </w:hyperlink>
      <w:r w:rsidR="00076530">
        <w:rPr>
          <w:rFonts w:ascii="Arial" w:hAnsi="Arial" w:cs="Arial"/>
          <w:sz w:val="20"/>
          <w:szCs w:val="24"/>
        </w:rPr>
        <w:t xml:space="preserve"> </w:t>
      </w:r>
    </w:p>
    <w:p w14:paraId="608DAC0C" w14:textId="77777777" w:rsidR="003065E2" w:rsidRPr="000A154B" w:rsidRDefault="003065E2" w:rsidP="000A154B">
      <w:pPr>
        <w:pStyle w:val="resumen"/>
        <w:jc w:val="left"/>
        <w:rPr>
          <w:rFonts w:ascii="Arial" w:hAnsi="Arial" w:cs="Arial"/>
          <w:sz w:val="20"/>
          <w:szCs w:val="24"/>
        </w:rPr>
      </w:pPr>
      <w:r w:rsidRPr="000A154B">
        <w:rPr>
          <w:rFonts w:ascii="Arial" w:hAnsi="Arial" w:cs="Arial"/>
          <w:sz w:val="20"/>
          <w:szCs w:val="24"/>
        </w:rPr>
        <w:t>Resumen</w:t>
      </w:r>
    </w:p>
    <w:p w14:paraId="5AE9062B" w14:textId="40DAC33D" w:rsidR="003065E2" w:rsidRPr="000A154B" w:rsidRDefault="003065E2" w:rsidP="00D06C38">
      <w:pPr>
        <w:pStyle w:val="Default"/>
        <w:jc w:val="both"/>
        <w:rPr>
          <w:rFonts w:ascii="Arial" w:hAnsi="Arial" w:cs="Arial"/>
          <w:sz w:val="20"/>
        </w:rPr>
      </w:pPr>
      <w:r w:rsidRPr="000A154B">
        <w:rPr>
          <w:rFonts w:ascii="Arial" w:hAnsi="Arial" w:cs="Arial"/>
          <w:sz w:val="20"/>
        </w:rPr>
        <w:t xml:space="preserve">La presente </w:t>
      </w:r>
      <w:r w:rsidRPr="00D06C38">
        <w:rPr>
          <w:rFonts w:ascii="Arial" w:hAnsi="Arial" w:cs="Arial"/>
          <w:sz w:val="20"/>
          <w:szCs w:val="20"/>
        </w:rPr>
        <w:t xml:space="preserve">comunicación pretende alcanzar el siguiente objetivo: caracterizar las dimensiones </w:t>
      </w:r>
      <w:r w:rsidR="000A154B" w:rsidRPr="00D06C38">
        <w:rPr>
          <w:rFonts w:ascii="Arial" w:hAnsi="Arial" w:cs="Arial"/>
          <w:sz w:val="20"/>
          <w:szCs w:val="20"/>
        </w:rPr>
        <w:t xml:space="preserve">ontológica, </w:t>
      </w:r>
      <w:r w:rsidRPr="00D06C38">
        <w:rPr>
          <w:rFonts w:ascii="Arial" w:hAnsi="Arial" w:cs="Arial"/>
          <w:sz w:val="20"/>
          <w:szCs w:val="20"/>
        </w:rPr>
        <w:t>epistemológica y metodológica de los estudio de género presentados en los diferentes Congresos Nacionales de Investigación Educativa (CNIE). Se reflexiona sobre</w:t>
      </w:r>
      <w:r w:rsidR="00D44455" w:rsidRPr="00D06C38">
        <w:rPr>
          <w:rFonts w:ascii="Arial" w:hAnsi="Arial" w:cs="Arial"/>
          <w:sz w:val="20"/>
          <w:szCs w:val="20"/>
        </w:rPr>
        <w:t xml:space="preserve"> los referentes teóricos utilizados,</w:t>
      </w:r>
      <w:r w:rsidRPr="00D06C38">
        <w:rPr>
          <w:rFonts w:ascii="Arial" w:hAnsi="Arial" w:cs="Arial"/>
          <w:sz w:val="20"/>
          <w:szCs w:val="20"/>
        </w:rPr>
        <w:t xml:space="preserve"> las estrategias epistemológicas de los investigadores así como las metodologías empleadas en los estudios presentados en los CNIE del Consejo Mexicano de Investigación Educativa (COMIE) en sus ediciones IX, X y XI. El estudio se inscribe en un paradigma cualitativo, el método utilizado retoma elementos del análisis de contenido (</w:t>
      </w:r>
      <w:proofErr w:type="spellStart"/>
      <w:r w:rsidRPr="00D06C38">
        <w:rPr>
          <w:rFonts w:ascii="Arial" w:hAnsi="Arial" w:cs="Arial"/>
          <w:sz w:val="20"/>
          <w:szCs w:val="20"/>
        </w:rPr>
        <w:t>Krippendorff</w:t>
      </w:r>
      <w:proofErr w:type="spellEnd"/>
      <w:r w:rsidRPr="00D06C38">
        <w:rPr>
          <w:rFonts w:ascii="Arial" w:hAnsi="Arial" w:cs="Arial"/>
          <w:sz w:val="20"/>
          <w:szCs w:val="20"/>
        </w:rPr>
        <w:t xml:space="preserve">, K. 1990). El corpus de datos analizado se integra por 11 ponencias. Las dimensiones analíticas son dos: estrategias epistemológicas empleadas y estrategias metodologías utilizadas. A partir de la recolección y análisis de datos, se arribaron a algunas conclusiones, entre las que destacan las siguientes: </w:t>
      </w:r>
      <w:r w:rsidR="00D06C38" w:rsidRPr="00D06C38">
        <w:rPr>
          <w:rFonts w:ascii="Arial" w:hAnsi="Arial" w:cs="Arial"/>
          <w:color w:val="auto"/>
          <w:sz w:val="20"/>
          <w:szCs w:val="20"/>
        </w:rPr>
        <w:t xml:space="preserve">Jeffrey </w:t>
      </w:r>
      <w:proofErr w:type="spellStart"/>
      <w:r w:rsidR="00D06C38" w:rsidRPr="00D06C38">
        <w:rPr>
          <w:rFonts w:ascii="Arial" w:hAnsi="Arial" w:cs="Arial"/>
          <w:color w:val="auto"/>
          <w:sz w:val="20"/>
          <w:szCs w:val="20"/>
        </w:rPr>
        <w:t>Weeks</w:t>
      </w:r>
      <w:proofErr w:type="spellEnd"/>
      <w:r w:rsidR="00D06C38" w:rsidRPr="00D06C38">
        <w:rPr>
          <w:rFonts w:ascii="Arial" w:hAnsi="Arial" w:cs="Arial"/>
          <w:color w:val="auto"/>
          <w:sz w:val="20"/>
          <w:szCs w:val="20"/>
        </w:rPr>
        <w:t xml:space="preserve">, Pierre Bourdieu y Michel Foucault </w:t>
      </w:r>
      <w:r w:rsidR="00D06C38">
        <w:rPr>
          <w:rFonts w:ascii="Arial" w:hAnsi="Arial" w:cs="Arial"/>
          <w:color w:val="auto"/>
          <w:sz w:val="20"/>
          <w:szCs w:val="20"/>
        </w:rPr>
        <w:t>son los autores que más citados por los estudiosos de género. L</w:t>
      </w:r>
      <w:r w:rsidR="00D06C38" w:rsidRPr="00D06C38">
        <w:rPr>
          <w:rFonts w:ascii="Arial" w:hAnsi="Arial" w:cs="Arial"/>
          <w:sz w:val="20"/>
          <w:szCs w:val="20"/>
        </w:rPr>
        <w:t>os investigadores educativos que estudian género</w:t>
      </w:r>
      <w:r w:rsidR="00D06C38" w:rsidRPr="000A154B">
        <w:rPr>
          <w:rFonts w:ascii="Arial" w:hAnsi="Arial" w:cs="Arial"/>
          <w:sz w:val="20"/>
        </w:rPr>
        <w:t xml:space="preserve">, y participan en CNIE de COMIE recurren más a las estrategias epistemológicas de </w:t>
      </w:r>
      <w:r w:rsidR="00D06C38" w:rsidRPr="000A154B">
        <w:rPr>
          <w:rFonts w:ascii="Arial" w:hAnsi="Arial" w:cs="Arial"/>
          <w:i/>
          <w:sz w:val="20"/>
        </w:rPr>
        <w:t xml:space="preserve">construir </w:t>
      </w:r>
      <w:r w:rsidR="00D06C38" w:rsidRPr="000A154B">
        <w:rPr>
          <w:rFonts w:ascii="Arial" w:hAnsi="Arial" w:cs="Arial"/>
          <w:sz w:val="20"/>
        </w:rPr>
        <w:t xml:space="preserve">e </w:t>
      </w:r>
      <w:r w:rsidR="00D06C38" w:rsidRPr="000A154B">
        <w:rPr>
          <w:rFonts w:ascii="Arial" w:hAnsi="Arial" w:cs="Arial"/>
          <w:i/>
          <w:sz w:val="20"/>
        </w:rPr>
        <w:t xml:space="preserve">interpretar, </w:t>
      </w:r>
      <w:r w:rsidR="00D06C38" w:rsidRPr="000A154B">
        <w:rPr>
          <w:rFonts w:ascii="Arial" w:hAnsi="Arial" w:cs="Arial"/>
          <w:sz w:val="20"/>
        </w:rPr>
        <w:t xml:space="preserve">que a </w:t>
      </w:r>
      <w:r w:rsidR="00D06C38" w:rsidRPr="000A154B">
        <w:rPr>
          <w:rFonts w:ascii="Arial" w:hAnsi="Arial" w:cs="Arial"/>
          <w:i/>
          <w:sz w:val="20"/>
        </w:rPr>
        <w:t>verificar.</w:t>
      </w:r>
      <w:r w:rsidR="00D06C38">
        <w:rPr>
          <w:rFonts w:ascii="Arial" w:hAnsi="Arial" w:cs="Arial"/>
          <w:i/>
          <w:sz w:val="20"/>
        </w:rPr>
        <w:t xml:space="preserve"> </w:t>
      </w:r>
      <w:r w:rsidR="00D06C38">
        <w:rPr>
          <w:rFonts w:ascii="Arial" w:hAnsi="Arial" w:cs="Arial"/>
          <w:color w:val="auto"/>
          <w:sz w:val="20"/>
          <w:szCs w:val="20"/>
        </w:rPr>
        <w:t xml:space="preserve">El empleo de manera predominante </w:t>
      </w:r>
      <w:r w:rsidRPr="00D06C38">
        <w:rPr>
          <w:rFonts w:ascii="Arial" w:hAnsi="Arial" w:cs="Arial"/>
          <w:sz w:val="20"/>
          <w:szCs w:val="20"/>
        </w:rPr>
        <w:t>metodologías cualitativas</w:t>
      </w:r>
      <w:r w:rsidR="00D06C38">
        <w:rPr>
          <w:rFonts w:ascii="Arial" w:hAnsi="Arial" w:cs="Arial"/>
          <w:sz w:val="20"/>
          <w:szCs w:val="20"/>
        </w:rPr>
        <w:t xml:space="preserve"> es otra característica de los investigadores de este eje temático</w:t>
      </w:r>
    </w:p>
    <w:p w14:paraId="3316907F" w14:textId="77777777" w:rsidR="003065E2" w:rsidRPr="000A154B" w:rsidRDefault="003065E2" w:rsidP="00D44455">
      <w:pPr>
        <w:pStyle w:val="palabrasClave"/>
        <w:jc w:val="both"/>
        <w:rPr>
          <w:rFonts w:ascii="Arial" w:hAnsi="Arial" w:cs="Arial"/>
          <w:sz w:val="20"/>
        </w:rPr>
      </w:pPr>
      <w:r w:rsidRPr="000A154B">
        <w:rPr>
          <w:rFonts w:ascii="Arial" w:hAnsi="Arial" w:cs="Arial"/>
          <w:b/>
          <w:sz w:val="20"/>
        </w:rPr>
        <w:t>Palabras clave</w:t>
      </w:r>
      <w:r w:rsidRPr="000A154B">
        <w:rPr>
          <w:rFonts w:ascii="Arial" w:hAnsi="Arial" w:cs="Arial"/>
          <w:sz w:val="20"/>
        </w:rPr>
        <w:t>: epistemología, metodología de la investigación, estudios de género</w:t>
      </w:r>
    </w:p>
    <w:p w14:paraId="03B22A43" w14:textId="77777777" w:rsidR="003065E2" w:rsidRPr="000A154B" w:rsidRDefault="003065E2" w:rsidP="002D6CB0">
      <w:pPr>
        <w:pStyle w:val="Ttulo2"/>
        <w:spacing w:line="480" w:lineRule="auto"/>
        <w:rPr>
          <w:rFonts w:ascii="Arial" w:hAnsi="Arial" w:cs="Arial"/>
          <w:sz w:val="24"/>
          <w:szCs w:val="24"/>
        </w:rPr>
      </w:pPr>
      <w:r w:rsidRPr="000A154B">
        <w:rPr>
          <w:rFonts w:ascii="Arial" w:hAnsi="Arial" w:cs="Arial"/>
          <w:sz w:val="24"/>
          <w:szCs w:val="24"/>
        </w:rPr>
        <w:t>Introducción</w:t>
      </w:r>
    </w:p>
    <w:p w14:paraId="650C02D0" w14:textId="77777777" w:rsidR="003065E2" w:rsidRPr="000A154B" w:rsidRDefault="003065E2" w:rsidP="002D6CB0">
      <w:pPr>
        <w:spacing w:line="480" w:lineRule="auto"/>
        <w:jc w:val="both"/>
        <w:rPr>
          <w:rFonts w:ascii="Arial" w:hAnsi="Arial" w:cs="Arial"/>
          <w:sz w:val="24"/>
          <w:szCs w:val="24"/>
        </w:rPr>
      </w:pPr>
      <w:r w:rsidRPr="000A154B">
        <w:rPr>
          <w:rFonts w:ascii="Arial" w:hAnsi="Arial" w:cs="Arial"/>
          <w:sz w:val="24"/>
          <w:szCs w:val="24"/>
        </w:rPr>
        <w:t xml:space="preserve">Los estudios de género en México inicia en los años ochenta (González, R. 2009) y parten del supuesto que el género es un constructo social, no una condición biológica. A partir de este hecho, realizar estudios de género requiere de esfuerzos </w:t>
      </w:r>
      <w:proofErr w:type="spellStart"/>
      <w:r w:rsidRPr="000A154B">
        <w:rPr>
          <w:rFonts w:ascii="Arial" w:hAnsi="Arial" w:cs="Arial"/>
          <w:sz w:val="24"/>
          <w:szCs w:val="24"/>
        </w:rPr>
        <w:t>multi</w:t>
      </w:r>
      <w:proofErr w:type="spellEnd"/>
      <w:r w:rsidRPr="000A154B">
        <w:rPr>
          <w:rFonts w:ascii="Arial" w:hAnsi="Arial" w:cs="Arial"/>
          <w:sz w:val="24"/>
          <w:szCs w:val="24"/>
        </w:rPr>
        <w:t xml:space="preserve">, inter y </w:t>
      </w:r>
      <w:proofErr w:type="spellStart"/>
      <w:r w:rsidRPr="000A154B">
        <w:rPr>
          <w:rFonts w:ascii="Arial" w:hAnsi="Arial" w:cs="Arial"/>
          <w:sz w:val="24"/>
          <w:szCs w:val="24"/>
        </w:rPr>
        <w:t>transdisciplinar</w:t>
      </w:r>
      <w:proofErr w:type="spellEnd"/>
      <w:r w:rsidRPr="000A154B">
        <w:rPr>
          <w:rFonts w:ascii="Arial" w:hAnsi="Arial" w:cs="Arial"/>
          <w:sz w:val="24"/>
          <w:szCs w:val="24"/>
        </w:rPr>
        <w:t xml:space="preserve"> para estar en condiciones de reconfigurar este campo de estudio. Al respecto, es necesario reconocer que los estudios sobre género en México son escasos, al compararlos en cantidad con los estudios de otras líneas temáticas de COMIE.  </w:t>
      </w:r>
    </w:p>
    <w:p w14:paraId="18D4C16D" w14:textId="582881CF" w:rsidR="003065E2" w:rsidRPr="000A154B" w:rsidRDefault="003065E2" w:rsidP="00350B46">
      <w:pPr>
        <w:spacing w:line="480" w:lineRule="auto"/>
        <w:ind w:firstLine="708"/>
        <w:jc w:val="both"/>
        <w:rPr>
          <w:rFonts w:ascii="Arial" w:hAnsi="Arial" w:cs="Arial"/>
          <w:sz w:val="24"/>
          <w:szCs w:val="24"/>
        </w:rPr>
      </w:pPr>
      <w:r w:rsidRPr="000A154B">
        <w:rPr>
          <w:rFonts w:ascii="Arial" w:hAnsi="Arial" w:cs="Arial"/>
          <w:sz w:val="24"/>
          <w:szCs w:val="24"/>
        </w:rPr>
        <w:t xml:space="preserve">Se pretende avanzar en el debate sobre los niveles de concreción del paradigma, a partir de una reflexión sobre los niveles </w:t>
      </w:r>
      <w:r w:rsidR="000A154B" w:rsidRPr="000A154B">
        <w:rPr>
          <w:rFonts w:ascii="Arial" w:hAnsi="Arial" w:cs="Arial"/>
          <w:sz w:val="24"/>
          <w:szCs w:val="24"/>
        </w:rPr>
        <w:t xml:space="preserve">ontológico, </w:t>
      </w:r>
      <w:r w:rsidRPr="000A154B">
        <w:rPr>
          <w:rFonts w:ascii="Arial" w:hAnsi="Arial" w:cs="Arial"/>
          <w:sz w:val="24"/>
          <w:szCs w:val="24"/>
        </w:rPr>
        <w:t xml:space="preserve">epistemológico y </w:t>
      </w:r>
      <w:r w:rsidRPr="000A154B">
        <w:rPr>
          <w:rFonts w:ascii="Arial" w:hAnsi="Arial" w:cs="Arial"/>
          <w:sz w:val="24"/>
          <w:szCs w:val="24"/>
        </w:rPr>
        <w:lastRenderedPageBreak/>
        <w:t xml:space="preserve">metodológico de este tipo de estudios, a partir de las ponencias presentadas en los Congresos Nacionales de Investigación Educativa (CNIE) del Consejo Mexicano de Investigación Educativa (COMIE), ya que no existen esfuerzos de investigación dentro de las memorias de COMIE que pretendan hacer un esfuerzo similar sobre los referentes epistemológicos y metodológicos de estos estudios. </w:t>
      </w:r>
    </w:p>
    <w:p w14:paraId="350D4099" w14:textId="3F57E424" w:rsidR="003065E2" w:rsidRPr="000A154B" w:rsidRDefault="003065E2" w:rsidP="00350B46">
      <w:pPr>
        <w:spacing w:line="480" w:lineRule="auto"/>
        <w:ind w:firstLine="360"/>
        <w:jc w:val="both"/>
        <w:rPr>
          <w:rFonts w:ascii="Arial" w:hAnsi="Arial" w:cs="Arial"/>
          <w:sz w:val="24"/>
          <w:szCs w:val="24"/>
        </w:rPr>
      </w:pPr>
      <w:r w:rsidRPr="000A154B">
        <w:rPr>
          <w:rFonts w:ascii="Arial" w:hAnsi="Arial" w:cs="Arial"/>
          <w:sz w:val="24"/>
          <w:szCs w:val="24"/>
        </w:rPr>
        <w:t>Las preguntas de investigación que se plantean en el estudio son las que se enlistan enseguida:</w:t>
      </w:r>
    </w:p>
    <w:p w14:paraId="03C4ECB2" w14:textId="7BCF246F" w:rsidR="00D75E4E" w:rsidRPr="000A154B" w:rsidRDefault="00D75E4E" w:rsidP="002D6CB0">
      <w:pPr>
        <w:pStyle w:val="Prrafodelista"/>
        <w:numPr>
          <w:ilvl w:val="0"/>
          <w:numId w:val="1"/>
        </w:numPr>
        <w:rPr>
          <w:rFonts w:ascii="Arial" w:hAnsi="Arial" w:cs="Arial"/>
        </w:rPr>
      </w:pPr>
      <w:r w:rsidRPr="000A154B">
        <w:rPr>
          <w:rFonts w:ascii="Arial" w:hAnsi="Arial" w:cs="Arial"/>
        </w:rPr>
        <w:t xml:space="preserve">¿Qué autores y perspectivas teóricas </w:t>
      </w:r>
      <w:r w:rsidR="000A154B" w:rsidRPr="000A154B">
        <w:rPr>
          <w:rFonts w:ascii="Arial" w:hAnsi="Arial" w:cs="Arial"/>
        </w:rPr>
        <w:t>delinean la dimensión ontológica de género</w:t>
      </w:r>
      <w:r w:rsidRPr="000A154B">
        <w:rPr>
          <w:rFonts w:ascii="Arial" w:hAnsi="Arial" w:cs="Arial"/>
        </w:rPr>
        <w:t>?</w:t>
      </w:r>
    </w:p>
    <w:p w14:paraId="58740ACB" w14:textId="34B90A02" w:rsidR="003065E2" w:rsidRPr="000A154B" w:rsidRDefault="003065E2" w:rsidP="002D6CB0">
      <w:pPr>
        <w:pStyle w:val="Prrafodelista"/>
        <w:numPr>
          <w:ilvl w:val="0"/>
          <w:numId w:val="1"/>
        </w:numPr>
        <w:rPr>
          <w:rFonts w:ascii="Arial" w:hAnsi="Arial" w:cs="Arial"/>
        </w:rPr>
      </w:pPr>
      <w:r w:rsidRPr="000A154B">
        <w:rPr>
          <w:rFonts w:ascii="Arial" w:hAnsi="Arial" w:cs="Arial"/>
        </w:rPr>
        <w:t>¿Qué metodologías son las más utilizadas para realizar los estudios de género?</w:t>
      </w:r>
    </w:p>
    <w:p w14:paraId="76CEE615" w14:textId="77777777" w:rsidR="003065E2" w:rsidRPr="000A154B" w:rsidRDefault="003065E2" w:rsidP="002D6CB0">
      <w:pPr>
        <w:pStyle w:val="Prrafodelista"/>
        <w:numPr>
          <w:ilvl w:val="0"/>
          <w:numId w:val="1"/>
        </w:numPr>
        <w:rPr>
          <w:rFonts w:ascii="Arial" w:hAnsi="Arial" w:cs="Arial"/>
        </w:rPr>
      </w:pPr>
      <w:r w:rsidRPr="000A154B">
        <w:rPr>
          <w:rFonts w:ascii="Arial" w:hAnsi="Arial" w:cs="Arial"/>
        </w:rPr>
        <w:t>¿Qué procedimientos epistemológicos utilizan los investigadores educativos para reconstruir sus objetos de estudio?</w:t>
      </w:r>
    </w:p>
    <w:p w14:paraId="7A5DB9BF" w14:textId="77777777" w:rsidR="003065E2" w:rsidRPr="000A154B" w:rsidRDefault="003065E2" w:rsidP="002D6CB0">
      <w:pPr>
        <w:spacing w:line="480" w:lineRule="auto"/>
        <w:jc w:val="both"/>
        <w:rPr>
          <w:rFonts w:ascii="Arial" w:hAnsi="Arial" w:cs="Arial"/>
          <w:sz w:val="24"/>
          <w:szCs w:val="24"/>
        </w:rPr>
      </w:pPr>
      <w:r w:rsidRPr="000A154B">
        <w:rPr>
          <w:rFonts w:ascii="Arial" w:hAnsi="Arial" w:cs="Arial"/>
          <w:sz w:val="24"/>
          <w:szCs w:val="24"/>
        </w:rPr>
        <w:t>El objetivo a alcanzar mediante esta investigación es:</w:t>
      </w:r>
    </w:p>
    <w:p w14:paraId="78ABD9FB" w14:textId="3C27A158" w:rsidR="003065E2" w:rsidRPr="000A154B" w:rsidRDefault="003065E2" w:rsidP="002D6CB0">
      <w:pPr>
        <w:pStyle w:val="Prrafodelista"/>
        <w:numPr>
          <w:ilvl w:val="0"/>
          <w:numId w:val="2"/>
        </w:numPr>
        <w:rPr>
          <w:rFonts w:ascii="Arial" w:hAnsi="Arial" w:cs="Arial"/>
        </w:rPr>
      </w:pPr>
      <w:r w:rsidRPr="000A154B">
        <w:rPr>
          <w:rFonts w:ascii="Arial" w:hAnsi="Arial" w:cs="Arial"/>
        </w:rPr>
        <w:t xml:space="preserve">Caracterizar las dimensiones </w:t>
      </w:r>
      <w:r w:rsidR="00D75E4E" w:rsidRPr="000A154B">
        <w:rPr>
          <w:rFonts w:ascii="Arial" w:hAnsi="Arial" w:cs="Arial"/>
        </w:rPr>
        <w:t xml:space="preserve">teórica, metodológica y </w:t>
      </w:r>
      <w:r w:rsidRPr="000A154B">
        <w:rPr>
          <w:rFonts w:ascii="Arial" w:hAnsi="Arial" w:cs="Arial"/>
        </w:rPr>
        <w:t xml:space="preserve">epistemológica de los estudio de género presentados en los diferentes </w:t>
      </w:r>
      <w:proofErr w:type="spellStart"/>
      <w:r w:rsidRPr="000A154B">
        <w:rPr>
          <w:rFonts w:ascii="Arial" w:hAnsi="Arial" w:cs="Arial"/>
        </w:rPr>
        <w:t>CNIE´s</w:t>
      </w:r>
      <w:proofErr w:type="spellEnd"/>
      <w:r w:rsidRPr="000A154B">
        <w:rPr>
          <w:rFonts w:ascii="Arial" w:hAnsi="Arial" w:cs="Arial"/>
        </w:rPr>
        <w:t>.</w:t>
      </w:r>
    </w:p>
    <w:p w14:paraId="73D66D4A" w14:textId="77777777" w:rsidR="003065E2" w:rsidRPr="000A154B" w:rsidRDefault="003065E2" w:rsidP="002D6CB0">
      <w:pPr>
        <w:pStyle w:val="Ttulo2"/>
        <w:spacing w:line="480" w:lineRule="auto"/>
        <w:rPr>
          <w:rFonts w:ascii="Arial" w:hAnsi="Arial" w:cs="Arial"/>
          <w:sz w:val="24"/>
          <w:szCs w:val="24"/>
        </w:rPr>
      </w:pPr>
      <w:r w:rsidRPr="000A154B">
        <w:rPr>
          <w:rFonts w:ascii="Arial" w:hAnsi="Arial" w:cs="Arial"/>
          <w:sz w:val="24"/>
          <w:szCs w:val="24"/>
        </w:rPr>
        <w:t>Marco teórico</w:t>
      </w:r>
    </w:p>
    <w:p w14:paraId="17D332FD" w14:textId="68DE5701" w:rsidR="003065E2" w:rsidRPr="000A154B" w:rsidRDefault="003065E2" w:rsidP="00350B46">
      <w:pPr>
        <w:autoSpaceDE w:val="0"/>
        <w:autoSpaceDN w:val="0"/>
        <w:adjustRightInd w:val="0"/>
        <w:spacing w:line="480" w:lineRule="auto"/>
        <w:ind w:firstLine="708"/>
        <w:jc w:val="both"/>
        <w:rPr>
          <w:rFonts w:ascii="Arial" w:hAnsi="Arial" w:cs="Arial"/>
          <w:sz w:val="24"/>
          <w:szCs w:val="24"/>
        </w:rPr>
      </w:pPr>
      <w:r w:rsidRPr="000A154B">
        <w:rPr>
          <w:rFonts w:ascii="Arial" w:hAnsi="Arial" w:cs="Arial"/>
          <w:sz w:val="24"/>
          <w:szCs w:val="24"/>
        </w:rPr>
        <w:t>Scott (1996) citado po</w:t>
      </w:r>
      <w:r w:rsidR="00D75E4E" w:rsidRPr="000A154B">
        <w:rPr>
          <w:rFonts w:ascii="Arial" w:hAnsi="Arial" w:cs="Arial"/>
          <w:sz w:val="24"/>
          <w:szCs w:val="24"/>
        </w:rPr>
        <w:t>r Gonzáles, R. (2009</w:t>
      </w:r>
      <w:r w:rsidRPr="000A154B">
        <w:rPr>
          <w:rFonts w:ascii="Arial" w:hAnsi="Arial" w:cs="Arial"/>
          <w:sz w:val="24"/>
          <w:szCs w:val="24"/>
        </w:rPr>
        <w:t xml:space="preserve">) </w:t>
      </w:r>
      <w:r w:rsidR="00D75E4E" w:rsidRPr="000A154B">
        <w:rPr>
          <w:rFonts w:ascii="Arial" w:hAnsi="Arial" w:cs="Arial"/>
          <w:sz w:val="24"/>
          <w:szCs w:val="24"/>
        </w:rPr>
        <w:t xml:space="preserve">define género como </w:t>
      </w:r>
      <w:r w:rsidRPr="000A154B">
        <w:rPr>
          <w:rFonts w:ascii="Arial" w:hAnsi="Arial" w:cs="Arial"/>
          <w:sz w:val="24"/>
          <w:szCs w:val="24"/>
        </w:rPr>
        <w:t>sistemas binarios que oponen el hombre a la mujer, lo masculino a lo femenino</w:t>
      </w:r>
      <w:r w:rsidR="00D75E4E" w:rsidRPr="000A154B">
        <w:rPr>
          <w:rFonts w:ascii="Arial" w:hAnsi="Arial" w:cs="Arial"/>
          <w:sz w:val="24"/>
          <w:szCs w:val="24"/>
        </w:rPr>
        <w:t xml:space="preserve"> y</w:t>
      </w:r>
      <w:r w:rsidRPr="000A154B">
        <w:rPr>
          <w:rFonts w:ascii="Arial" w:hAnsi="Arial" w:cs="Arial"/>
          <w:sz w:val="24"/>
          <w:szCs w:val="24"/>
        </w:rPr>
        <w:t xml:space="preserve"> lo público a lo privado, </w:t>
      </w:r>
      <w:r w:rsidR="00D75E4E" w:rsidRPr="000A154B">
        <w:rPr>
          <w:rFonts w:ascii="Arial" w:hAnsi="Arial" w:cs="Arial"/>
          <w:sz w:val="24"/>
          <w:szCs w:val="24"/>
        </w:rPr>
        <w:t xml:space="preserve">siempre a favor del género masculino. Desde este posicionamiento, el género, hace referencia a los </w:t>
      </w:r>
      <w:r w:rsidRPr="000A154B">
        <w:rPr>
          <w:rFonts w:ascii="Arial" w:hAnsi="Arial" w:cs="Arial"/>
          <w:sz w:val="24"/>
          <w:szCs w:val="24"/>
        </w:rPr>
        <w:t xml:space="preserve">orígenes exclusivamente sociales de las identidades subjetivas de hombres y mujeres. </w:t>
      </w:r>
    </w:p>
    <w:p w14:paraId="1C57CB82" w14:textId="77777777" w:rsidR="003065E2" w:rsidRPr="000A154B" w:rsidRDefault="003065E2" w:rsidP="00350B46">
      <w:pPr>
        <w:autoSpaceDE w:val="0"/>
        <w:autoSpaceDN w:val="0"/>
        <w:adjustRightInd w:val="0"/>
        <w:spacing w:line="480" w:lineRule="auto"/>
        <w:ind w:firstLine="708"/>
        <w:jc w:val="both"/>
        <w:rPr>
          <w:rFonts w:ascii="Arial" w:hAnsi="Arial" w:cs="Arial"/>
          <w:sz w:val="24"/>
          <w:szCs w:val="24"/>
        </w:rPr>
      </w:pPr>
      <w:r w:rsidRPr="000A154B">
        <w:rPr>
          <w:rFonts w:ascii="Arial" w:hAnsi="Arial" w:cs="Arial"/>
          <w:sz w:val="24"/>
          <w:szCs w:val="24"/>
        </w:rPr>
        <w:lastRenderedPageBreak/>
        <w:t xml:space="preserve">En tanto, categoría social, es un constructo subjetivo, que es negociado y determinado por una sociedad determinada dentro de un contexto socio-histórico-cultural claramente definido. </w:t>
      </w:r>
    </w:p>
    <w:p w14:paraId="6F270B85" w14:textId="500EFFC8" w:rsidR="003065E2" w:rsidRPr="000A154B" w:rsidRDefault="003065E2" w:rsidP="00350B46">
      <w:pPr>
        <w:autoSpaceDE w:val="0"/>
        <w:autoSpaceDN w:val="0"/>
        <w:adjustRightInd w:val="0"/>
        <w:spacing w:line="480" w:lineRule="auto"/>
        <w:ind w:firstLine="708"/>
        <w:jc w:val="both"/>
        <w:rPr>
          <w:rFonts w:ascii="Arial" w:hAnsi="Arial" w:cs="Arial"/>
          <w:sz w:val="24"/>
          <w:szCs w:val="24"/>
        </w:rPr>
      </w:pPr>
      <w:proofErr w:type="spellStart"/>
      <w:r w:rsidRPr="000A154B">
        <w:rPr>
          <w:rFonts w:ascii="Arial" w:hAnsi="Arial" w:cs="Arial"/>
          <w:sz w:val="24"/>
          <w:szCs w:val="24"/>
        </w:rPr>
        <w:t>Harding</w:t>
      </w:r>
      <w:proofErr w:type="spellEnd"/>
      <w:r w:rsidRPr="000A154B">
        <w:rPr>
          <w:rFonts w:ascii="Arial" w:hAnsi="Arial" w:cs="Arial"/>
          <w:sz w:val="24"/>
          <w:szCs w:val="24"/>
        </w:rPr>
        <w:t>, S. (1996, p. 47)</w:t>
      </w:r>
      <w:r w:rsidR="00D75E4E" w:rsidRPr="000A154B">
        <w:rPr>
          <w:rFonts w:ascii="Arial" w:hAnsi="Arial" w:cs="Arial"/>
          <w:sz w:val="24"/>
          <w:szCs w:val="24"/>
        </w:rPr>
        <w:t>, por otra parte,</w:t>
      </w:r>
      <w:r w:rsidRPr="000A154B">
        <w:rPr>
          <w:rFonts w:ascii="Arial" w:hAnsi="Arial" w:cs="Arial"/>
          <w:sz w:val="24"/>
          <w:szCs w:val="24"/>
        </w:rPr>
        <w:t xml:space="preserve"> advierte que “Una teorización adecuada del género no llevaría siempre a plantearnos cuestiones sobre las interacciones entre el simbolismo de género y lo que constituye las identidades y deseos </w:t>
      </w:r>
      <w:r w:rsidRPr="000A154B">
        <w:rPr>
          <w:rFonts w:ascii="Arial" w:hAnsi="Arial" w:cs="Arial"/>
          <w:i/>
          <w:sz w:val="24"/>
          <w:szCs w:val="24"/>
        </w:rPr>
        <w:t>gener</w:t>
      </w:r>
      <w:r w:rsidR="00B36DB4" w:rsidRPr="000A154B">
        <w:rPr>
          <w:rFonts w:ascii="Arial" w:hAnsi="Arial" w:cs="Arial"/>
          <w:i/>
          <w:sz w:val="24"/>
          <w:szCs w:val="24"/>
        </w:rPr>
        <w:t>al</w:t>
      </w:r>
      <w:r w:rsidRPr="000A154B">
        <w:rPr>
          <w:rFonts w:ascii="Arial" w:hAnsi="Arial" w:cs="Arial"/>
          <w:i/>
          <w:sz w:val="24"/>
          <w:szCs w:val="24"/>
        </w:rPr>
        <w:t xml:space="preserve">izados </w:t>
      </w:r>
      <w:r w:rsidRPr="000A154B">
        <w:rPr>
          <w:rFonts w:ascii="Arial" w:hAnsi="Arial" w:cs="Arial"/>
          <w:sz w:val="24"/>
          <w:szCs w:val="24"/>
        </w:rPr>
        <w:t>en una cultura particular”.</w:t>
      </w:r>
    </w:p>
    <w:p w14:paraId="16AE43FB" w14:textId="04F898EA" w:rsidR="00B36DB4" w:rsidRPr="000A154B" w:rsidRDefault="00B36DB4" w:rsidP="00350B46">
      <w:pPr>
        <w:autoSpaceDE w:val="0"/>
        <w:autoSpaceDN w:val="0"/>
        <w:adjustRightInd w:val="0"/>
        <w:spacing w:line="480" w:lineRule="auto"/>
        <w:ind w:firstLine="708"/>
        <w:jc w:val="both"/>
        <w:rPr>
          <w:rFonts w:ascii="Arial" w:hAnsi="Arial" w:cs="Arial"/>
          <w:sz w:val="24"/>
          <w:szCs w:val="24"/>
        </w:rPr>
      </w:pPr>
      <w:r w:rsidRPr="000A154B">
        <w:rPr>
          <w:rFonts w:ascii="Arial" w:hAnsi="Arial" w:cs="Arial"/>
          <w:sz w:val="24"/>
          <w:szCs w:val="24"/>
        </w:rPr>
        <w:t>Para</w:t>
      </w:r>
      <w:r w:rsidR="003065E2" w:rsidRPr="000A154B">
        <w:rPr>
          <w:rFonts w:ascii="Arial" w:hAnsi="Arial" w:cs="Arial"/>
          <w:sz w:val="24"/>
          <w:szCs w:val="24"/>
        </w:rPr>
        <w:t xml:space="preserve"> revisar los referentes</w:t>
      </w:r>
      <w:r w:rsidRPr="000A154B">
        <w:rPr>
          <w:rFonts w:ascii="Arial" w:hAnsi="Arial" w:cs="Arial"/>
          <w:sz w:val="24"/>
          <w:szCs w:val="24"/>
        </w:rPr>
        <w:t xml:space="preserve"> ontológicos,</w:t>
      </w:r>
      <w:r w:rsidR="003065E2" w:rsidRPr="000A154B">
        <w:rPr>
          <w:rFonts w:ascii="Arial" w:hAnsi="Arial" w:cs="Arial"/>
          <w:sz w:val="24"/>
          <w:szCs w:val="24"/>
        </w:rPr>
        <w:t xml:space="preserve"> epistemológicos y metodológicos que aparecen de manera implícita o explícita en los reportes de investigación presentados en las líneas temáticas de género, es necesario recordar el término paradigma y sus niveles de concreción. </w:t>
      </w:r>
    </w:p>
    <w:p w14:paraId="47F1F097" w14:textId="65195BB4" w:rsidR="003065E2" w:rsidRPr="000A154B" w:rsidRDefault="003065E2" w:rsidP="00350B46">
      <w:pPr>
        <w:autoSpaceDE w:val="0"/>
        <w:autoSpaceDN w:val="0"/>
        <w:adjustRightInd w:val="0"/>
        <w:spacing w:line="480" w:lineRule="auto"/>
        <w:ind w:firstLine="708"/>
        <w:jc w:val="both"/>
        <w:rPr>
          <w:rFonts w:ascii="Arial" w:hAnsi="Arial" w:cs="Arial"/>
          <w:iCs/>
          <w:sz w:val="24"/>
          <w:szCs w:val="24"/>
        </w:rPr>
      </w:pPr>
      <w:r w:rsidRPr="000A154B">
        <w:rPr>
          <w:rFonts w:ascii="Arial" w:hAnsi="Arial" w:cs="Arial"/>
          <w:sz w:val="24"/>
          <w:szCs w:val="24"/>
        </w:rPr>
        <w:t xml:space="preserve">En este sentido, Miranda, J., Leyva, A. y </w:t>
      </w:r>
      <w:proofErr w:type="spellStart"/>
      <w:r w:rsidRPr="000A154B">
        <w:rPr>
          <w:rFonts w:ascii="Arial" w:hAnsi="Arial" w:cs="Arial"/>
          <w:sz w:val="24"/>
          <w:szCs w:val="24"/>
        </w:rPr>
        <w:t>Frock</w:t>
      </w:r>
      <w:proofErr w:type="spellEnd"/>
      <w:r w:rsidRPr="000A154B">
        <w:rPr>
          <w:rFonts w:ascii="Arial" w:hAnsi="Arial" w:cs="Arial"/>
          <w:sz w:val="24"/>
          <w:szCs w:val="24"/>
        </w:rPr>
        <w:t xml:space="preserve">, A. (2011) reflexionan desde la idea </w:t>
      </w:r>
      <w:proofErr w:type="spellStart"/>
      <w:r w:rsidRPr="000A154B">
        <w:rPr>
          <w:rFonts w:ascii="Arial" w:hAnsi="Arial" w:cs="Arial"/>
          <w:sz w:val="24"/>
          <w:szCs w:val="24"/>
        </w:rPr>
        <w:t>kunhiana</w:t>
      </w:r>
      <w:proofErr w:type="spellEnd"/>
      <w:r w:rsidRPr="000A154B">
        <w:rPr>
          <w:rFonts w:ascii="Arial" w:hAnsi="Arial" w:cs="Arial"/>
          <w:sz w:val="24"/>
          <w:szCs w:val="24"/>
        </w:rPr>
        <w:t xml:space="preserve"> de paradigma: </w:t>
      </w:r>
      <w:r w:rsidRPr="000A154B">
        <w:rPr>
          <w:rFonts w:ascii="Arial" w:hAnsi="Arial" w:cs="Arial"/>
          <w:i/>
          <w:iCs/>
          <w:sz w:val="24"/>
          <w:szCs w:val="24"/>
        </w:rPr>
        <w:t xml:space="preserve">una imagen básica del objeto de una ciencia. </w:t>
      </w:r>
      <w:r w:rsidR="00B36DB4" w:rsidRPr="000A154B">
        <w:rPr>
          <w:rFonts w:ascii="Arial" w:hAnsi="Arial" w:cs="Arial"/>
          <w:iCs/>
          <w:sz w:val="24"/>
          <w:szCs w:val="24"/>
        </w:rPr>
        <w:t>Siguiendo, la propuesta de los autores, e</w:t>
      </w:r>
      <w:r w:rsidRPr="000A154B">
        <w:rPr>
          <w:rFonts w:ascii="Arial" w:hAnsi="Arial" w:cs="Arial"/>
          <w:iCs/>
          <w:sz w:val="24"/>
          <w:szCs w:val="24"/>
        </w:rPr>
        <w:t xml:space="preserve">l paradigma define lo que ha de estudiarse y lo que no, las preguntas </w:t>
      </w:r>
      <w:r w:rsidR="00B36DB4" w:rsidRPr="000A154B">
        <w:rPr>
          <w:rFonts w:ascii="Arial" w:hAnsi="Arial" w:cs="Arial"/>
          <w:iCs/>
          <w:sz w:val="24"/>
          <w:szCs w:val="24"/>
        </w:rPr>
        <w:t xml:space="preserve">que han de </w:t>
      </w:r>
      <w:r w:rsidRPr="000A154B">
        <w:rPr>
          <w:rFonts w:ascii="Arial" w:hAnsi="Arial" w:cs="Arial"/>
          <w:iCs/>
          <w:sz w:val="24"/>
          <w:szCs w:val="24"/>
        </w:rPr>
        <w:t xml:space="preserve">plantearse y las que no se </w:t>
      </w:r>
      <w:r w:rsidR="00B36DB4" w:rsidRPr="000A154B">
        <w:rPr>
          <w:rFonts w:ascii="Arial" w:hAnsi="Arial" w:cs="Arial"/>
          <w:iCs/>
          <w:sz w:val="24"/>
          <w:szCs w:val="24"/>
        </w:rPr>
        <w:t>han de plantear</w:t>
      </w:r>
      <w:r w:rsidRPr="000A154B">
        <w:rPr>
          <w:rFonts w:ascii="Arial" w:hAnsi="Arial" w:cs="Arial"/>
          <w:iCs/>
          <w:sz w:val="24"/>
          <w:szCs w:val="24"/>
        </w:rPr>
        <w:t xml:space="preserve">, la forma correcta e incorrecta de </w:t>
      </w:r>
      <w:r w:rsidR="00B36DB4" w:rsidRPr="000A154B">
        <w:rPr>
          <w:rFonts w:ascii="Arial" w:hAnsi="Arial" w:cs="Arial"/>
          <w:iCs/>
          <w:sz w:val="24"/>
          <w:szCs w:val="24"/>
        </w:rPr>
        <w:t>expresar</w:t>
      </w:r>
      <w:r w:rsidRPr="000A154B">
        <w:rPr>
          <w:rFonts w:ascii="Arial" w:hAnsi="Arial" w:cs="Arial"/>
          <w:iCs/>
          <w:sz w:val="24"/>
          <w:szCs w:val="24"/>
        </w:rPr>
        <w:t xml:space="preserve"> la pregunta de investigación, así como la instrumentación y procedimientos adecuados e inadecuados para dar con la respuesta al problema de estudio.</w:t>
      </w:r>
    </w:p>
    <w:p w14:paraId="27A7B3B0" w14:textId="77777777" w:rsidR="003065E2" w:rsidRPr="000A154B" w:rsidRDefault="003065E2" w:rsidP="00350B46">
      <w:pPr>
        <w:autoSpaceDE w:val="0"/>
        <w:autoSpaceDN w:val="0"/>
        <w:adjustRightInd w:val="0"/>
        <w:spacing w:line="480" w:lineRule="auto"/>
        <w:ind w:firstLine="708"/>
        <w:jc w:val="both"/>
        <w:rPr>
          <w:rFonts w:ascii="Arial" w:hAnsi="Arial" w:cs="Arial"/>
          <w:iCs/>
          <w:sz w:val="24"/>
          <w:szCs w:val="24"/>
        </w:rPr>
      </w:pPr>
      <w:r w:rsidRPr="000A154B">
        <w:rPr>
          <w:rFonts w:ascii="Arial" w:hAnsi="Arial" w:cs="Arial"/>
          <w:iCs/>
          <w:sz w:val="24"/>
          <w:szCs w:val="24"/>
        </w:rPr>
        <w:t xml:space="preserve">Por su parte, </w:t>
      </w:r>
      <w:proofErr w:type="spellStart"/>
      <w:r w:rsidRPr="000A154B">
        <w:rPr>
          <w:rFonts w:ascii="Arial" w:hAnsi="Arial" w:cs="Arial"/>
          <w:iCs/>
          <w:sz w:val="24"/>
          <w:szCs w:val="24"/>
        </w:rPr>
        <w:t>Guba</w:t>
      </w:r>
      <w:proofErr w:type="spellEnd"/>
      <w:r w:rsidRPr="000A154B">
        <w:rPr>
          <w:rFonts w:ascii="Arial" w:hAnsi="Arial" w:cs="Arial"/>
          <w:iCs/>
          <w:sz w:val="24"/>
          <w:szCs w:val="24"/>
        </w:rPr>
        <w:t xml:space="preserve"> y Lincoln (1994) citados por Valles, M. (2007) han explicado el paradigma desde tres supuestos, entendidos estos como sistemas de creencias básicas sobre: </w:t>
      </w:r>
    </w:p>
    <w:p w14:paraId="67A530D1" w14:textId="6986DCA2" w:rsidR="003065E2" w:rsidRPr="000A154B" w:rsidRDefault="003065E2" w:rsidP="002D6CB0">
      <w:pPr>
        <w:autoSpaceDE w:val="0"/>
        <w:autoSpaceDN w:val="0"/>
        <w:adjustRightInd w:val="0"/>
        <w:spacing w:line="480" w:lineRule="auto"/>
        <w:jc w:val="both"/>
        <w:rPr>
          <w:rFonts w:ascii="Arial" w:hAnsi="Arial" w:cs="Arial"/>
          <w:sz w:val="24"/>
          <w:szCs w:val="24"/>
        </w:rPr>
      </w:pPr>
      <w:r w:rsidRPr="000A154B">
        <w:rPr>
          <w:rFonts w:ascii="Arial" w:hAnsi="Arial" w:cs="Arial"/>
          <w:sz w:val="24"/>
          <w:szCs w:val="24"/>
        </w:rPr>
        <w:lastRenderedPageBreak/>
        <w:t xml:space="preserve">a) </w:t>
      </w:r>
      <w:r w:rsidR="00B36DB4" w:rsidRPr="000A154B">
        <w:rPr>
          <w:rFonts w:ascii="Arial" w:hAnsi="Arial" w:cs="Arial"/>
          <w:sz w:val="24"/>
          <w:szCs w:val="24"/>
        </w:rPr>
        <w:t>un s</w:t>
      </w:r>
      <w:r w:rsidRPr="000A154B">
        <w:rPr>
          <w:rFonts w:ascii="Arial" w:hAnsi="Arial" w:cs="Arial"/>
          <w:sz w:val="24"/>
          <w:szCs w:val="24"/>
        </w:rPr>
        <w:t>upuesto ontológico</w:t>
      </w:r>
      <w:r w:rsidR="00B36DB4" w:rsidRPr="000A154B">
        <w:rPr>
          <w:rFonts w:ascii="Arial" w:hAnsi="Arial" w:cs="Arial"/>
          <w:sz w:val="24"/>
          <w:szCs w:val="24"/>
        </w:rPr>
        <w:t>, que tiene que ver con l</w:t>
      </w:r>
      <w:r w:rsidR="00B36DB4" w:rsidRPr="000A154B">
        <w:rPr>
          <w:rFonts w:ascii="Arial" w:hAnsi="Arial" w:cs="Arial"/>
          <w:iCs/>
          <w:sz w:val="24"/>
          <w:szCs w:val="24"/>
        </w:rPr>
        <w:t>a naturaleza de la realidad investigada</w:t>
      </w:r>
    </w:p>
    <w:p w14:paraId="474E9F83" w14:textId="58EC50E2" w:rsidR="003065E2" w:rsidRPr="000A154B" w:rsidRDefault="003065E2" w:rsidP="002D6CB0">
      <w:pPr>
        <w:autoSpaceDE w:val="0"/>
        <w:autoSpaceDN w:val="0"/>
        <w:adjustRightInd w:val="0"/>
        <w:spacing w:line="480" w:lineRule="auto"/>
        <w:jc w:val="both"/>
        <w:rPr>
          <w:rFonts w:ascii="Arial" w:hAnsi="Arial" w:cs="Arial"/>
          <w:sz w:val="24"/>
          <w:szCs w:val="24"/>
        </w:rPr>
      </w:pPr>
      <w:r w:rsidRPr="000A154B">
        <w:rPr>
          <w:rFonts w:ascii="Arial" w:hAnsi="Arial" w:cs="Arial"/>
          <w:sz w:val="24"/>
          <w:szCs w:val="24"/>
        </w:rPr>
        <w:t xml:space="preserve">b) </w:t>
      </w:r>
      <w:r w:rsidR="00B36DB4" w:rsidRPr="000A154B">
        <w:rPr>
          <w:rFonts w:ascii="Arial" w:hAnsi="Arial" w:cs="Arial"/>
          <w:sz w:val="24"/>
          <w:szCs w:val="24"/>
        </w:rPr>
        <w:t xml:space="preserve">un supuesto epistemológico, que hace referencia al </w:t>
      </w:r>
      <w:r w:rsidRPr="000A154B">
        <w:rPr>
          <w:rFonts w:ascii="Arial" w:hAnsi="Arial" w:cs="Arial"/>
          <w:iCs/>
          <w:sz w:val="24"/>
          <w:szCs w:val="24"/>
        </w:rPr>
        <w:t>modelo de relación entre e</w:t>
      </w:r>
      <w:r w:rsidR="00B36DB4" w:rsidRPr="000A154B">
        <w:rPr>
          <w:rFonts w:ascii="Arial" w:hAnsi="Arial" w:cs="Arial"/>
          <w:iCs/>
          <w:sz w:val="24"/>
          <w:szCs w:val="24"/>
        </w:rPr>
        <w:t>l investigador y lo investigado</w:t>
      </w:r>
      <w:r w:rsidRPr="000A154B">
        <w:rPr>
          <w:rFonts w:ascii="Arial" w:hAnsi="Arial" w:cs="Arial"/>
          <w:sz w:val="24"/>
          <w:szCs w:val="24"/>
        </w:rPr>
        <w:t xml:space="preserve">. </w:t>
      </w:r>
    </w:p>
    <w:p w14:paraId="2E4A3969" w14:textId="1B29D7D9" w:rsidR="003065E2" w:rsidRPr="000A154B" w:rsidRDefault="003065E2" w:rsidP="002D6CB0">
      <w:pPr>
        <w:autoSpaceDE w:val="0"/>
        <w:autoSpaceDN w:val="0"/>
        <w:adjustRightInd w:val="0"/>
        <w:spacing w:line="480" w:lineRule="auto"/>
        <w:jc w:val="both"/>
        <w:rPr>
          <w:rFonts w:ascii="Arial" w:hAnsi="Arial" w:cs="Arial"/>
          <w:iCs/>
          <w:sz w:val="24"/>
          <w:szCs w:val="24"/>
        </w:rPr>
      </w:pPr>
      <w:r w:rsidRPr="000A154B">
        <w:rPr>
          <w:rFonts w:ascii="Arial" w:hAnsi="Arial" w:cs="Arial"/>
          <w:iCs/>
          <w:sz w:val="24"/>
          <w:szCs w:val="24"/>
        </w:rPr>
        <w:t xml:space="preserve">c) </w:t>
      </w:r>
      <w:r w:rsidR="00B36DB4" w:rsidRPr="000A154B">
        <w:rPr>
          <w:rFonts w:ascii="Arial" w:hAnsi="Arial" w:cs="Arial"/>
          <w:iCs/>
          <w:sz w:val="24"/>
          <w:szCs w:val="24"/>
        </w:rPr>
        <w:t>un supuesto metodológico, s</w:t>
      </w:r>
      <w:r w:rsidRPr="000A154B">
        <w:rPr>
          <w:rFonts w:ascii="Arial" w:hAnsi="Arial" w:cs="Arial"/>
          <w:iCs/>
          <w:sz w:val="24"/>
          <w:szCs w:val="24"/>
        </w:rPr>
        <w:t xml:space="preserve">obre el modo en que podemos obtener conocimiento de dicha </w:t>
      </w:r>
      <w:r w:rsidR="00B36DB4" w:rsidRPr="000A154B">
        <w:rPr>
          <w:rFonts w:ascii="Arial" w:hAnsi="Arial" w:cs="Arial"/>
          <w:iCs/>
          <w:sz w:val="24"/>
          <w:szCs w:val="24"/>
        </w:rPr>
        <w:t>realidad</w:t>
      </w:r>
      <w:r w:rsidRPr="000A154B">
        <w:rPr>
          <w:rFonts w:ascii="Arial" w:hAnsi="Arial" w:cs="Arial"/>
          <w:iCs/>
          <w:sz w:val="24"/>
          <w:szCs w:val="24"/>
        </w:rPr>
        <w:t>.</w:t>
      </w:r>
    </w:p>
    <w:p w14:paraId="70893C4C" w14:textId="3C541343" w:rsidR="003065E2" w:rsidRPr="000A154B" w:rsidRDefault="003065E2" w:rsidP="00350B46">
      <w:pPr>
        <w:spacing w:line="480" w:lineRule="auto"/>
        <w:ind w:firstLine="708"/>
        <w:jc w:val="both"/>
        <w:rPr>
          <w:rFonts w:ascii="Arial" w:hAnsi="Arial" w:cs="Arial"/>
          <w:iCs/>
          <w:sz w:val="24"/>
          <w:szCs w:val="24"/>
        </w:rPr>
      </w:pPr>
      <w:r w:rsidRPr="000A154B">
        <w:rPr>
          <w:rFonts w:ascii="Arial" w:hAnsi="Arial" w:cs="Arial"/>
          <w:iCs/>
          <w:sz w:val="24"/>
          <w:szCs w:val="24"/>
        </w:rPr>
        <w:t>El paradigma, desde</w:t>
      </w:r>
      <w:r w:rsidR="00B36DB4" w:rsidRPr="000A154B">
        <w:rPr>
          <w:rFonts w:ascii="Arial" w:hAnsi="Arial" w:cs="Arial"/>
          <w:iCs/>
          <w:sz w:val="24"/>
          <w:szCs w:val="24"/>
        </w:rPr>
        <w:t xml:space="preserve"> el planteamiento de </w:t>
      </w:r>
      <w:proofErr w:type="spellStart"/>
      <w:r w:rsidRPr="000A154B">
        <w:rPr>
          <w:rFonts w:ascii="Arial" w:hAnsi="Arial" w:cs="Arial"/>
          <w:iCs/>
          <w:sz w:val="24"/>
          <w:szCs w:val="24"/>
        </w:rPr>
        <w:t>Guba</w:t>
      </w:r>
      <w:proofErr w:type="spellEnd"/>
      <w:r w:rsidRPr="000A154B">
        <w:rPr>
          <w:rFonts w:ascii="Arial" w:hAnsi="Arial" w:cs="Arial"/>
          <w:iCs/>
          <w:sz w:val="24"/>
          <w:szCs w:val="24"/>
        </w:rPr>
        <w:t xml:space="preserve"> y Lincoln (1994), </w:t>
      </w:r>
      <w:r w:rsidR="00B36DB4" w:rsidRPr="000A154B">
        <w:rPr>
          <w:rFonts w:ascii="Arial" w:hAnsi="Arial" w:cs="Arial"/>
          <w:iCs/>
          <w:sz w:val="24"/>
          <w:szCs w:val="24"/>
        </w:rPr>
        <w:t>es</w:t>
      </w:r>
      <w:r w:rsidRPr="000A154B">
        <w:rPr>
          <w:rFonts w:ascii="Arial" w:hAnsi="Arial" w:cs="Arial"/>
          <w:iCs/>
          <w:sz w:val="24"/>
          <w:szCs w:val="24"/>
        </w:rPr>
        <w:t xml:space="preserve"> necesario pensarlo desde sus tres niveles de concreción: ontológico, epistemológico y metodológico. En el presente estudio, trabajaremos sobre las dimensiones </w:t>
      </w:r>
      <w:r w:rsidR="00B36DB4" w:rsidRPr="000A154B">
        <w:rPr>
          <w:rFonts w:ascii="Arial" w:hAnsi="Arial" w:cs="Arial"/>
          <w:iCs/>
          <w:sz w:val="24"/>
          <w:szCs w:val="24"/>
        </w:rPr>
        <w:t xml:space="preserve">ontológica, </w:t>
      </w:r>
      <w:r w:rsidRPr="000A154B">
        <w:rPr>
          <w:rFonts w:ascii="Arial" w:hAnsi="Arial" w:cs="Arial"/>
          <w:iCs/>
          <w:sz w:val="24"/>
          <w:szCs w:val="24"/>
        </w:rPr>
        <w:t>metodológica y epistemológica de los reportes de investigación seleccionados para este análisis.</w:t>
      </w:r>
    </w:p>
    <w:p w14:paraId="28FF7F1A" w14:textId="77777777" w:rsidR="003065E2" w:rsidRPr="000A154B" w:rsidRDefault="003065E2" w:rsidP="00350B46">
      <w:pPr>
        <w:pStyle w:val="referencia"/>
        <w:spacing w:after="0" w:line="480" w:lineRule="auto"/>
        <w:ind w:left="0" w:firstLine="708"/>
        <w:jc w:val="both"/>
        <w:rPr>
          <w:rFonts w:ascii="Arial" w:hAnsi="Arial" w:cs="Arial"/>
        </w:rPr>
      </w:pPr>
      <w:r w:rsidRPr="000A154B">
        <w:rPr>
          <w:rFonts w:ascii="Arial" w:hAnsi="Arial" w:cs="Arial"/>
        </w:rPr>
        <w:t xml:space="preserve">Los niveles de concreción de </w:t>
      </w:r>
      <w:proofErr w:type="spellStart"/>
      <w:r w:rsidRPr="000A154B">
        <w:rPr>
          <w:rFonts w:ascii="Arial" w:hAnsi="Arial" w:cs="Arial"/>
        </w:rPr>
        <w:t>Guba</w:t>
      </w:r>
      <w:proofErr w:type="spellEnd"/>
      <w:r w:rsidRPr="000A154B">
        <w:rPr>
          <w:rFonts w:ascii="Arial" w:hAnsi="Arial" w:cs="Arial"/>
        </w:rPr>
        <w:t xml:space="preserve"> y Lincoln (1994) descienden de lo ontológico hasta lo metodológico. Dentro del nivel ontológico conciben dos realidades: un realismo estático –por lo tanto inmutable- y un realismo dinámico –por lo tanto cambiante y mutante de manera permanente-. Al revisar el nivel epistemológico, afirman que el investigador que concibe una realidad estática tendrá como tarea </w:t>
      </w:r>
      <w:r w:rsidRPr="000A154B">
        <w:rPr>
          <w:rFonts w:ascii="Arial" w:hAnsi="Arial" w:cs="Arial"/>
          <w:i/>
        </w:rPr>
        <w:t xml:space="preserve">verificar </w:t>
      </w:r>
      <w:r w:rsidRPr="000A154B">
        <w:rPr>
          <w:rFonts w:ascii="Arial" w:hAnsi="Arial" w:cs="Arial"/>
        </w:rPr>
        <w:t xml:space="preserve">esa realidad. Por otra parte, quienes conciban la realidad dinámica, podrán </w:t>
      </w:r>
      <w:r w:rsidRPr="000A154B">
        <w:rPr>
          <w:rFonts w:ascii="Arial" w:hAnsi="Arial" w:cs="Arial"/>
          <w:i/>
        </w:rPr>
        <w:t xml:space="preserve">aprender </w:t>
      </w:r>
      <w:r w:rsidRPr="000A154B">
        <w:rPr>
          <w:rFonts w:ascii="Arial" w:hAnsi="Arial" w:cs="Arial"/>
        </w:rPr>
        <w:t xml:space="preserve">dicha realidad mediante estrategias </w:t>
      </w:r>
      <w:r w:rsidRPr="000A154B">
        <w:rPr>
          <w:rFonts w:ascii="Arial" w:hAnsi="Arial" w:cs="Arial"/>
          <w:i/>
        </w:rPr>
        <w:t xml:space="preserve">constructivistas, interpretativas y críticas. </w:t>
      </w:r>
      <w:r w:rsidRPr="000A154B">
        <w:rPr>
          <w:rFonts w:ascii="Arial" w:hAnsi="Arial" w:cs="Arial"/>
        </w:rPr>
        <w:t xml:space="preserve">Para le realidad estática y el proceso epistemológico verificativo, los autores platean una metodología cuantitativa. Mientras que para aquellos investigadores que </w:t>
      </w:r>
      <w:r w:rsidRPr="000A154B">
        <w:rPr>
          <w:rFonts w:ascii="Arial" w:hAnsi="Arial" w:cs="Arial"/>
          <w:i/>
        </w:rPr>
        <w:t>piensan</w:t>
      </w:r>
      <w:r w:rsidRPr="000A154B">
        <w:rPr>
          <w:rFonts w:ascii="Arial" w:hAnsi="Arial" w:cs="Arial"/>
        </w:rPr>
        <w:t xml:space="preserve"> la realidad de manera dinámica, y reconstruyen mediante las estrategias </w:t>
      </w:r>
      <w:r w:rsidRPr="000A154B">
        <w:rPr>
          <w:rFonts w:ascii="Arial" w:hAnsi="Arial" w:cs="Arial"/>
        </w:rPr>
        <w:lastRenderedPageBreak/>
        <w:t>epistemológicas propias para ese tipo de realismo, plantean las metodologías cualitativas.</w:t>
      </w:r>
    </w:p>
    <w:p w14:paraId="467062DE" w14:textId="6284A4E7" w:rsidR="003065E2" w:rsidRPr="000A154B" w:rsidRDefault="003065E2" w:rsidP="002D6CB0">
      <w:pPr>
        <w:spacing w:line="480" w:lineRule="auto"/>
        <w:ind w:firstLine="708"/>
        <w:jc w:val="both"/>
        <w:rPr>
          <w:rFonts w:ascii="Arial" w:hAnsi="Arial" w:cs="Arial"/>
          <w:sz w:val="24"/>
          <w:szCs w:val="24"/>
        </w:rPr>
      </w:pPr>
      <w:r w:rsidRPr="000A154B">
        <w:rPr>
          <w:rFonts w:ascii="Arial" w:hAnsi="Arial" w:cs="Arial"/>
          <w:sz w:val="24"/>
          <w:szCs w:val="24"/>
        </w:rPr>
        <w:t xml:space="preserve">La metodología de un estudio hace referencia, como </w:t>
      </w:r>
      <w:r w:rsidR="00076530">
        <w:rPr>
          <w:rFonts w:ascii="Arial" w:hAnsi="Arial" w:cs="Arial"/>
          <w:sz w:val="24"/>
          <w:szCs w:val="24"/>
        </w:rPr>
        <w:t xml:space="preserve">se anotaba anteriormente, </w:t>
      </w:r>
      <w:r w:rsidRPr="000A154B">
        <w:rPr>
          <w:rFonts w:ascii="Arial" w:hAnsi="Arial" w:cs="Arial"/>
          <w:sz w:val="24"/>
          <w:szCs w:val="24"/>
        </w:rPr>
        <w:t xml:space="preserve">a los niveles de concreción epistemológico y ontológico. A partir de este hecho, se puede definir el método –pensando cuantitativamente- como un diseño en el cual se </w:t>
      </w:r>
      <w:proofErr w:type="spellStart"/>
      <w:r w:rsidRPr="000A154B">
        <w:rPr>
          <w:rFonts w:ascii="Arial" w:hAnsi="Arial" w:cs="Arial"/>
          <w:sz w:val="24"/>
          <w:szCs w:val="24"/>
        </w:rPr>
        <w:t>preveen</w:t>
      </w:r>
      <w:proofErr w:type="spellEnd"/>
      <w:r w:rsidRPr="000A154B">
        <w:rPr>
          <w:rFonts w:ascii="Arial" w:hAnsi="Arial" w:cs="Arial"/>
          <w:sz w:val="24"/>
          <w:szCs w:val="24"/>
        </w:rPr>
        <w:t xml:space="preserve"> aquellos recursos, técnicas e instrumentos necesarios para la recolección y análisis de datos (Sierra, R. 2005), o bien, como aquel proceso abierto, flexible y en espiral que nos permitirá ir reconstruyendo de manera permanente el objeto de estudio (</w:t>
      </w:r>
      <w:proofErr w:type="spellStart"/>
      <w:r w:rsidRPr="000A154B">
        <w:rPr>
          <w:rFonts w:ascii="Arial" w:hAnsi="Arial" w:cs="Arial"/>
          <w:sz w:val="24"/>
          <w:szCs w:val="24"/>
        </w:rPr>
        <w:t>Flick</w:t>
      </w:r>
      <w:proofErr w:type="spellEnd"/>
      <w:r w:rsidRPr="000A154B">
        <w:rPr>
          <w:rFonts w:ascii="Arial" w:hAnsi="Arial" w:cs="Arial"/>
          <w:sz w:val="24"/>
          <w:szCs w:val="24"/>
        </w:rPr>
        <w:t>, U. 2004).</w:t>
      </w:r>
    </w:p>
    <w:p w14:paraId="78EA30FF" w14:textId="77777777" w:rsidR="003065E2" w:rsidRPr="000A154B" w:rsidRDefault="003065E2" w:rsidP="002D6CB0">
      <w:pPr>
        <w:autoSpaceDE w:val="0"/>
        <w:autoSpaceDN w:val="0"/>
        <w:adjustRightInd w:val="0"/>
        <w:spacing w:after="0" w:line="480" w:lineRule="auto"/>
        <w:jc w:val="both"/>
        <w:rPr>
          <w:rFonts w:ascii="Arial" w:hAnsi="Arial" w:cs="Arial"/>
          <w:b/>
          <w:color w:val="000000" w:themeColor="text1"/>
          <w:sz w:val="24"/>
          <w:szCs w:val="24"/>
        </w:rPr>
      </w:pPr>
      <w:r w:rsidRPr="000A154B">
        <w:rPr>
          <w:rFonts w:ascii="Arial" w:hAnsi="Arial" w:cs="Arial"/>
          <w:b/>
          <w:sz w:val="24"/>
          <w:szCs w:val="24"/>
        </w:rPr>
        <w:t>Método</w:t>
      </w:r>
    </w:p>
    <w:p w14:paraId="39CC3BBD" w14:textId="77777777" w:rsidR="003065E2" w:rsidRPr="000A154B" w:rsidRDefault="003065E2" w:rsidP="00350B46">
      <w:pPr>
        <w:spacing w:line="480" w:lineRule="auto"/>
        <w:ind w:firstLine="708"/>
        <w:jc w:val="both"/>
        <w:rPr>
          <w:rFonts w:ascii="Arial" w:hAnsi="Arial" w:cs="Arial"/>
          <w:sz w:val="24"/>
          <w:szCs w:val="24"/>
        </w:rPr>
      </w:pPr>
      <w:r w:rsidRPr="000A154B">
        <w:rPr>
          <w:rFonts w:ascii="Arial" w:hAnsi="Arial" w:cs="Arial"/>
          <w:sz w:val="24"/>
          <w:szCs w:val="24"/>
        </w:rPr>
        <w:t>El presente estudio se inscribe en un paradigma cualitativo, el método utilizado retoma elementos del análisis de contenido (</w:t>
      </w:r>
      <w:proofErr w:type="spellStart"/>
      <w:r w:rsidRPr="000A154B">
        <w:rPr>
          <w:rFonts w:ascii="Arial" w:hAnsi="Arial" w:cs="Arial"/>
          <w:sz w:val="24"/>
          <w:szCs w:val="24"/>
        </w:rPr>
        <w:t>Krippendorff</w:t>
      </w:r>
      <w:proofErr w:type="spellEnd"/>
      <w:r w:rsidRPr="000A154B">
        <w:rPr>
          <w:rFonts w:ascii="Arial" w:hAnsi="Arial" w:cs="Arial"/>
          <w:sz w:val="24"/>
          <w:szCs w:val="24"/>
        </w:rPr>
        <w:t>, K. 1990). El corpus de datos analizado son 11 ponencias presentadas en los IX, X y XI Congresos Nacionales de Investigación Educativa de COMIE. Las dimensiones analíticas son dos: estrategias epistemológicas empleadas y estrategias metodologías utilizadas.</w:t>
      </w:r>
    </w:p>
    <w:p w14:paraId="3824A594" w14:textId="77777777" w:rsidR="003065E2" w:rsidRPr="000A154B" w:rsidRDefault="003065E2" w:rsidP="002D6CB0">
      <w:pPr>
        <w:spacing w:line="480" w:lineRule="auto"/>
        <w:jc w:val="both"/>
        <w:rPr>
          <w:rFonts w:ascii="Arial" w:hAnsi="Arial" w:cs="Arial"/>
          <w:b/>
          <w:sz w:val="24"/>
          <w:szCs w:val="24"/>
        </w:rPr>
      </w:pPr>
      <w:r w:rsidRPr="000A154B">
        <w:rPr>
          <w:rFonts w:ascii="Arial" w:hAnsi="Arial" w:cs="Arial"/>
          <w:b/>
          <w:sz w:val="24"/>
          <w:szCs w:val="24"/>
        </w:rPr>
        <w:t>Discusión de resultados</w:t>
      </w:r>
    </w:p>
    <w:p w14:paraId="19A7BB73" w14:textId="77777777" w:rsidR="003065E2" w:rsidRPr="000A154B" w:rsidRDefault="003065E2" w:rsidP="00350B46">
      <w:pPr>
        <w:spacing w:line="480" w:lineRule="auto"/>
        <w:ind w:firstLine="708"/>
        <w:jc w:val="both"/>
        <w:rPr>
          <w:rFonts w:ascii="Arial" w:hAnsi="Arial" w:cs="Arial"/>
          <w:sz w:val="24"/>
          <w:szCs w:val="24"/>
        </w:rPr>
      </w:pPr>
      <w:r w:rsidRPr="000A154B">
        <w:rPr>
          <w:rFonts w:ascii="Arial" w:hAnsi="Arial" w:cs="Arial"/>
          <w:sz w:val="24"/>
          <w:szCs w:val="24"/>
        </w:rPr>
        <w:t>Este apartado se desarrolla a partir de las dimensiones de análisis del estudio.</w:t>
      </w:r>
    </w:p>
    <w:p w14:paraId="0BB0D8A2" w14:textId="472DEEB2" w:rsidR="003065E2" w:rsidRDefault="003065E2" w:rsidP="002D6CB0">
      <w:pPr>
        <w:spacing w:line="480" w:lineRule="auto"/>
        <w:jc w:val="both"/>
        <w:rPr>
          <w:rFonts w:ascii="Arial" w:hAnsi="Arial" w:cs="Arial"/>
          <w:b/>
          <w:sz w:val="24"/>
          <w:szCs w:val="24"/>
        </w:rPr>
      </w:pPr>
      <w:r w:rsidRPr="000A154B">
        <w:rPr>
          <w:rFonts w:ascii="Arial" w:hAnsi="Arial" w:cs="Arial"/>
          <w:b/>
          <w:sz w:val="24"/>
          <w:szCs w:val="24"/>
        </w:rPr>
        <w:t xml:space="preserve">Dimensión 1. </w:t>
      </w:r>
      <w:r w:rsidR="00C606A1">
        <w:rPr>
          <w:rFonts w:ascii="Arial" w:hAnsi="Arial" w:cs="Arial"/>
          <w:b/>
          <w:sz w:val="24"/>
          <w:szCs w:val="24"/>
        </w:rPr>
        <w:t>Nivel de concreción ontológica</w:t>
      </w:r>
    </w:p>
    <w:p w14:paraId="4E55A87F" w14:textId="395E13B3" w:rsidR="00C606A1" w:rsidRPr="00C606A1" w:rsidRDefault="00C606A1" w:rsidP="00350B46">
      <w:pPr>
        <w:spacing w:line="480" w:lineRule="auto"/>
        <w:ind w:firstLine="708"/>
        <w:jc w:val="both"/>
        <w:rPr>
          <w:rFonts w:ascii="Arial" w:hAnsi="Arial" w:cs="Arial"/>
          <w:sz w:val="24"/>
          <w:szCs w:val="24"/>
        </w:rPr>
      </w:pPr>
      <w:r>
        <w:rPr>
          <w:rFonts w:ascii="Arial" w:hAnsi="Arial" w:cs="Arial"/>
          <w:sz w:val="24"/>
          <w:szCs w:val="24"/>
        </w:rPr>
        <w:t xml:space="preserve">Para establecer la dimensión ontológica de los estudios de género, se revisaron los marcos teóricos y referencias bibliográficas de las ponencias que integran el corpus de datos, pues desde la teoría se mira el dato, esto es, la realidad como tal se describe </w:t>
      </w:r>
      <w:r>
        <w:rPr>
          <w:rFonts w:ascii="Arial" w:hAnsi="Arial" w:cs="Arial"/>
          <w:sz w:val="24"/>
          <w:szCs w:val="24"/>
        </w:rPr>
        <w:lastRenderedPageBreak/>
        <w:t xml:space="preserve">por lo menos en sus momentos iniciales desde los entramados teóricos y conceptuales: </w:t>
      </w:r>
      <w:r>
        <w:rPr>
          <w:rFonts w:ascii="Arial" w:hAnsi="Arial" w:cs="Arial"/>
          <w:i/>
          <w:sz w:val="24"/>
          <w:szCs w:val="24"/>
        </w:rPr>
        <w:t xml:space="preserve">es la teoría la ventana con la que se observa el dato recolectado. </w:t>
      </w:r>
    </w:p>
    <w:p w14:paraId="37BB0013" w14:textId="77777777" w:rsidR="00C606A1" w:rsidRDefault="00C606A1" w:rsidP="002D6CB0">
      <w:pPr>
        <w:pStyle w:val="Default"/>
        <w:spacing w:line="480" w:lineRule="auto"/>
        <w:jc w:val="both"/>
        <w:rPr>
          <w:rFonts w:ascii="Arial" w:hAnsi="Arial" w:cs="Arial"/>
          <w:i/>
          <w:color w:val="auto"/>
        </w:rPr>
      </w:pPr>
    </w:p>
    <w:p w14:paraId="3B065557" w14:textId="77777777" w:rsidR="00C606A1" w:rsidRDefault="00C606A1" w:rsidP="002D6CB0">
      <w:pPr>
        <w:pStyle w:val="Default"/>
        <w:spacing w:line="480" w:lineRule="auto"/>
        <w:jc w:val="both"/>
        <w:rPr>
          <w:rFonts w:ascii="Arial" w:hAnsi="Arial" w:cs="Arial"/>
          <w:i/>
          <w:color w:val="auto"/>
        </w:rPr>
      </w:pPr>
      <w:r>
        <w:rPr>
          <w:rFonts w:ascii="Arial" w:hAnsi="Arial" w:cs="Arial"/>
          <w:i/>
          <w:color w:val="auto"/>
        </w:rPr>
        <w:t>Autores más citados</w:t>
      </w:r>
    </w:p>
    <w:p w14:paraId="602A4D11" w14:textId="7D04AF03" w:rsidR="00076530" w:rsidRDefault="00C606A1" w:rsidP="002D6CB0">
      <w:pPr>
        <w:pStyle w:val="Default"/>
        <w:spacing w:line="480" w:lineRule="auto"/>
        <w:jc w:val="both"/>
        <w:rPr>
          <w:rFonts w:ascii="Arial" w:hAnsi="Arial" w:cs="Arial"/>
          <w:color w:val="auto"/>
        </w:rPr>
      </w:pPr>
      <w:r>
        <w:rPr>
          <w:rFonts w:ascii="Arial" w:hAnsi="Arial" w:cs="Arial"/>
          <w:color w:val="auto"/>
        </w:rPr>
        <w:tab/>
        <w:t>Al procesar los datos en el Atlas Ti v. 5.0, se solicitó una tabla por categorías con el conteo de unidades de análisis. En la figura 1, se presenta la tabla resultante, en la cual aparecen los autores más citados por los estudiosos de género en México.</w:t>
      </w:r>
    </w:p>
    <w:p w14:paraId="59F0E9BB" w14:textId="77777777" w:rsidR="00C606A1" w:rsidRPr="00C606A1" w:rsidRDefault="00C606A1" w:rsidP="002D6CB0">
      <w:pPr>
        <w:pStyle w:val="Default"/>
        <w:spacing w:line="480" w:lineRule="auto"/>
        <w:jc w:val="both"/>
        <w:rPr>
          <w:rFonts w:ascii="Arial" w:hAnsi="Arial" w:cs="Arial"/>
          <w:color w:val="auto"/>
        </w:rPr>
      </w:pPr>
    </w:p>
    <w:p w14:paraId="51DB768B" w14:textId="103B3D80" w:rsidR="00076530" w:rsidRDefault="00076530" w:rsidP="002D6CB0">
      <w:pPr>
        <w:pStyle w:val="Default"/>
        <w:spacing w:line="480" w:lineRule="auto"/>
        <w:jc w:val="both"/>
        <w:rPr>
          <w:rFonts w:ascii="Arial" w:hAnsi="Arial" w:cs="Arial"/>
          <w:i/>
          <w:color w:val="auto"/>
        </w:rPr>
      </w:pPr>
      <w:r>
        <w:rPr>
          <w:noProof/>
          <w:lang w:val="es-MX" w:eastAsia="es-MX"/>
        </w:rPr>
        <w:drawing>
          <wp:inline distT="0" distB="0" distL="0" distR="0" wp14:anchorId="4BB31B16" wp14:editId="610270D8">
            <wp:extent cx="5867400" cy="25584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7432" t="34798" r="25995" b="19414"/>
                    <a:stretch/>
                  </pic:blipFill>
                  <pic:spPr bwMode="auto">
                    <a:xfrm>
                      <a:off x="0" y="0"/>
                      <a:ext cx="5895111" cy="2570543"/>
                    </a:xfrm>
                    <a:prstGeom prst="rect">
                      <a:avLst/>
                    </a:prstGeom>
                    <a:ln>
                      <a:noFill/>
                    </a:ln>
                    <a:extLst>
                      <a:ext uri="{53640926-AAD7-44D8-BBD7-CCE9431645EC}">
                        <a14:shadowObscured xmlns:a14="http://schemas.microsoft.com/office/drawing/2010/main"/>
                      </a:ext>
                    </a:extLst>
                  </pic:spPr>
                </pic:pic>
              </a:graphicData>
            </a:graphic>
          </wp:inline>
        </w:drawing>
      </w:r>
    </w:p>
    <w:p w14:paraId="6B5F8584" w14:textId="69B47E81" w:rsidR="00076530" w:rsidRPr="00C606A1" w:rsidRDefault="00C606A1" w:rsidP="002D6CB0">
      <w:pPr>
        <w:pStyle w:val="Default"/>
        <w:jc w:val="both"/>
        <w:rPr>
          <w:rFonts w:ascii="Arial" w:hAnsi="Arial" w:cs="Arial"/>
          <w:i/>
          <w:color w:val="auto"/>
          <w:sz w:val="22"/>
        </w:rPr>
      </w:pPr>
      <w:r w:rsidRPr="00C606A1">
        <w:rPr>
          <w:rFonts w:ascii="Arial" w:hAnsi="Arial" w:cs="Arial"/>
          <w:i/>
          <w:color w:val="auto"/>
          <w:sz w:val="22"/>
        </w:rPr>
        <w:t xml:space="preserve">Figura 1. </w:t>
      </w:r>
      <w:r w:rsidRPr="00C606A1">
        <w:rPr>
          <w:rFonts w:ascii="Arial" w:hAnsi="Arial" w:cs="Arial"/>
          <w:color w:val="auto"/>
          <w:sz w:val="22"/>
        </w:rPr>
        <w:t>Tabla de Reporte de categorías con unidades de análisis por Documentos primarios.</w:t>
      </w:r>
    </w:p>
    <w:p w14:paraId="08000D7F" w14:textId="77777777" w:rsidR="00C606A1" w:rsidRDefault="00C606A1" w:rsidP="002D6CB0">
      <w:pPr>
        <w:pStyle w:val="Default"/>
        <w:spacing w:line="480" w:lineRule="auto"/>
        <w:jc w:val="both"/>
        <w:rPr>
          <w:rFonts w:ascii="Arial" w:hAnsi="Arial" w:cs="Arial"/>
          <w:i/>
          <w:color w:val="auto"/>
        </w:rPr>
      </w:pPr>
    </w:p>
    <w:p w14:paraId="051270F2" w14:textId="596601DF" w:rsidR="00C606A1" w:rsidRDefault="00C606A1" w:rsidP="002D6CB0">
      <w:pPr>
        <w:pStyle w:val="Default"/>
        <w:spacing w:line="480" w:lineRule="auto"/>
        <w:jc w:val="both"/>
        <w:rPr>
          <w:rFonts w:ascii="Arial" w:hAnsi="Arial" w:cs="Arial"/>
          <w:color w:val="auto"/>
        </w:rPr>
      </w:pPr>
      <w:r>
        <w:rPr>
          <w:rFonts w:ascii="Arial" w:hAnsi="Arial" w:cs="Arial"/>
          <w:color w:val="auto"/>
        </w:rPr>
        <w:tab/>
        <w:t xml:space="preserve">Al revisar la tabla citada, se observa que Jeffrey </w:t>
      </w:r>
      <w:proofErr w:type="spellStart"/>
      <w:r>
        <w:rPr>
          <w:rFonts w:ascii="Arial" w:hAnsi="Arial" w:cs="Arial"/>
          <w:color w:val="auto"/>
        </w:rPr>
        <w:t>Weeks</w:t>
      </w:r>
      <w:proofErr w:type="spellEnd"/>
      <w:r>
        <w:rPr>
          <w:rFonts w:ascii="Arial" w:hAnsi="Arial" w:cs="Arial"/>
          <w:color w:val="auto"/>
        </w:rPr>
        <w:t xml:space="preserve"> es el autor con más citas en los reportes de investigación analizados. Pierre Bourdieu y Michel Foucault con tres menciones, son los teóricos a los que más recurren los investigadores de género. De manera posterior aparecen, los teóricos que han aparecido dos veces citados en los textos analizados.</w:t>
      </w:r>
    </w:p>
    <w:p w14:paraId="199519CD" w14:textId="77777777" w:rsidR="003065E2" w:rsidRPr="000A154B" w:rsidRDefault="003065E2" w:rsidP="002D6CB0">
      <w:pPr>
        <w:pStyle w:val="Default"/>
        <w:spacing w:line="480" w:lineRule="auto"/>
        <w:jc w:val="both"/>
        <w:rPr>
          <w:rFonts w:ascii="Arial" w:hAnsi="Arial" w:cs="Arial"/>
          <w:i/>
          <w:color w:val="auto"/>
        </w:rPr>
      </w:pPr>
      <w:r w:rsidRPr="000A154B">
        <w:rPr>
          <w:rFonts w:ascii="Arial" w:hAnsi="Arial" w:cs="Arial"/>
          <w:i/>
          <w:color w:val="auto"/>
        </w:rPr>
        <w:t>Estudios por categoría o variables analizadas</w:t>
      </w:r>
    </w:p>
    <w:p w14:paraId="4ED50C2D" w14:textId="77777777" w:rsidR="00C606A1" w:rsidRDefault="00C606A1" w:rsidP="002D6CB0">
      <w:pPr>
        <w:pStyle w:val="Default"/>
        <w:spacing w:line="480" w:lineRule="auto"/>
        <w:jc w:val="both"/>
        <w:rPr>
          <w:rFonts w:ascii="Arial" w:hAnsi="Arial" w:cs="Arial"/>
          <w:i/>
          <w:color w:val="auto"/>
        </w:rPr>
      </w:pPr>
    </w:p>
    <w:p w14:paraId="5E40FBFA" w14:textId="77777777" w:rsidR="00C606A1" w:rsidRDefault="00C606A1" w:rsidP="002D6CB0">
      <w:pPr>
        <w:pStyle w:val="Default"/>
        <w:spacing w:line="480" w:lineRule="auto"/>
        <w:jc w:val="both"/>
        <w:rPr>
          <w:rFonts w:ascii="Arial" w:hAnsi="Arial" w:cs="Arial"/>
          <w:i/>
          <w:color w:val="auto"/>
        </w:rPr>
      </w:pPr>
    </w:p>
    <w:p w14:paraId="08DB0AF0" w14:textId="1B7A10BE" w:rsidR="003065E2" w:rsidRPr="000A154B" w:rsidRDefault="003065E2" w:rsidP="002D6CB0">
      <w:pPr>
        <w:pStyle w:val="Default"/>
        <w:spacing w:line="480" w:lineRule="auto"/>
        <w:jc w:val="both"/>
        <w:rPr>
          <w:rFonts w:ascii="Arial" w:hAnsi="Arial" w:cs="Arial"/>
          <w:i/>
          <w:color w:val="auto"/>
        </w:rPr>
      </w:pPr>
      <w:r w:rsidRPr="000A154B">
        <w:rPr>
          <w:rFonts w:ascii="Arial" w:hAnsi="Arial" w:cs="Arial"/>
          <w:i/>
          <w:color w:val="auto"/>
        </w:rPr>
        <w:t xml:space="preserve">Tabla </w:t>
      </w:r>
      <w:r w:rsidR="00C606A1">
        <w:rPr>
          <w:rFonts w:ascii="Arial" w:hAnsi="Arial" w:cs="Arial"/>
          <w:i/>
          <w:color w:val="auto"/>
        </w:rPr>
        <w:t>1</w:t>
      </w:r>
      <w:r w:rsidRPr="000A154B">
        <w:rPr>
          <w:rFonts w:ascii="Arial" w:hAnsi="Arial" w:cs="Arial"/>
          <w:i/>
          <w:color w:val="auto"/>
        </w:rPr>
        <w:t>. Categorías y/o variables por frecuencia de utilización en los reportes de investigación.</w:t>
      </w:r>
    </w:p>
    <w:p w14:paraId="563F5774" w14:textId="77777777" w:rsidR="003065E2" w:rsidRPr="000A154B" w:rsidRDefault="003065E2" w:rsidP="002D6CB0">
      <w:pPr>
        <w:pStyle w:val="Default"/>
        <w:spacing w:line="480" w:lineRule="auto"/>
        <w:jc w:val="both"/>
        <w:rPr>
          <w:rFonts w:ascii="Arial" w:hAnsi="Arial" w:cs="Arial"/>
          <w:i/>
          <w:color w:val="auto"/>
        </w:rPr>
      </w:pPr>
    </w:p>
    <w:tbl>
      <w:tblPr>
        <w:tblW w:w="0" w:type="auto"/>
        <w:tblLook w:val="04A0" w:firstRow="1" w:lastRow="0" w:firstColumn="1" w:lastColumn="0" w:noHBand="0" w:noVBand="1"/>
      </w:tblPr>
      <w:tblGrid>
        <w:gridCol w:w="1333"/>
        <w:gridCol w:w="2069"/>
        <w:gridCol w:w="2410"/>
        <w:gridCol w:w="3026"/>
      </w:tblGrid>
      <w:tr w:rsidR="003065E2" w:rsidRPr="00C606A1" w14:paraId="0930FE6F" w14:textId="77777777" w:rsidTr="00C606A1">
        <w:tc>
          <w:tcPr>
            <w:tcW w:w="1333" w:type="dxa"/>
            <w:tcBorders>
              <w:top w:val="single" w:sz="4" w:space="0" w:color="auto"/>
              <w:bottom w:val="single" w:sz="4" w:space="0" w:color="auto"/>
              <w:right w:val="nil"/>
            </w:tcBorders>
            <w:shd w:val="clear" w:color="auto" w:fill="auto"/>
          </w:tcPr>
          <w:p w14:paraId="570AD4CE" w14:textId="77777777" w:rsidR="003065E2" w:rsidRPr="00C606A1" w:rsidRDefault="003065E2" w:rsidP="002D6CB0">
            <w:pPr>
              <w:spacing w:after="0" w:line="240" w:lineRule="auto"/>
              <w:jc w:val="both"/>
              <w:rPr>
                <w:rFonts w:ascii="Arial" w:hAnsi="Arial" w:cs="Arial"/>
                <w:i/>
                <w:iCs/>
                <w:szCs w:val="24"/>
              </w:rPr>
            </w:pPr>
          </w:p>
        </w:tc>
        <w:tc>
          <w:tcPr>
            <w:tcW w:w="2069" w:type="dxa"/>
            <w:tcBorders>
              <w:top w:val="single" w:sz="4" w:space="0" w:color="auto"/>
              <w:bottom w:val="single" w:sz="4" w:space="0" w:color="auto"/>
            </w:tcBorders>
            <w:shd w:val="clear" w:color="auto" w:fill="auto"/>
          </w:tcPr>
          <w:p w14:paraId="5592D09B" w14:textId="77777777" w:rsidR="003065E2" w:rsidRPr="00C606A1" w:rsidRDefault="003065E2" w:rsidP="002D6CB0">
            <w:pPr>
              <w:spacing w:after="0" w:line="240" w:lineRule="auto"/>
              <w:jc w:val="both"/>
              <w:rPr>
                <w:rFonts w:ascii="Arial" w:hAnsi="Arial" w:cs="Arial"/>
                <w:i/>
                <w:iCs/>
                <w:szCs w:val="24"/>
              </w:rPr>
            </w:pPr>
            <w:r w:rsidRPr="00C606A1">
              <w:rPr>
                <w:rFonts w:ascii="Arial" w:hAnsi="Arial" w:cs="Arial"/>
                <w:i/>
                <w:iCs/>
                <w:szCs w:val="24"/>
              </w:rPr>
              <w:t>Centrales o más investigadas</w:t>
            </w:r>
          </w:p>
          <w:p w14:paraId="7C59A81E" w14:textId="77777777" w:rsidR="003065E2" w:rsidRPr="00C606A1" w:rsidRDefault="003065E2" w:rsidP="002D6CB0">
            <w:pPr>
              <w:spacing w:after="0" w:line="240" w:lineRule="auto"/>
              <w:jc w:val="both"/>
              <w:rPr>
                <w:rFonts w:ascii="Arial" w:hAnsi="Arial" w:cs="Arial"/>
                <w:i/>
                <w:iCs/>
                <w:szCs w:val="24"/>
              </w:rPr>
            </w:pPr>
          </w:p>
        </w:tc>
        <w:tc>
          <w:tcPr>
            <w:tcW w:w="2410" w:type="dxa"/>
            <w:tcBorders>
              <w:top w:val="single" w:sz="4" w:space="0" w:color="auto"/>
              <w:bottom w:val="single" w:sz="4" w:space="0" w:color="auto"/>
            </w:tcBorders>
            <w:shd w:val="clear" w:color="auto" w:fill="auto"/>
          </w:tcPr>
          <w:p w14:paraId="169370A0" w14:textId="77777777" w:rsidR="003065E2" w:rsidRPr="00C606A1" w:rsidRDefault="003065E2" w:rsidP="002D6CB0">
            <w:pPr>
              <w:spacing w:after="0" w:line="240" w:lineRule="auto"/>
              <w:jc w:val="both"/>
              <w:rPr>
                <w:rFonts w:ascii="Arial" w:hAnsi="Arial" w:cs="Arial"/>
                <w:i/>
                <w:iCs/>
                <w:szCs w:val="24"/>
              </w:rPr>
            </w:pPr>
            <w:r w:rsidRPr="00C606A1">
              <w:rPr>
                <w:rFonts w:ascii="Arial" w:hAnsi="Arial" w:cs="Arial"/>
                <w:i/>
                <w:iCs/>
                <w:szCs w:val="24"/>
              </w:rPr>
              <w:t>Intermedias o con regular frecuencia de estudio</w:t>
            </w:r>
          </w:p>
          <w:p w14:paraId="315468FE" w14:textId="77777777" w:rsidR="003065E2" w:rsidRPr="00C606A1" w:rsidRDefault="003065E2" w:rsidP="002D6CB0">
            <w:pPr>
              <w:spacing w:after="0" w:line="240" w:lineRule="auto"/>
              <w:jc w:val="both"/>
              <w:rPr>
                <w:rFonts w:ascii="Arial" w:hAnsi="Arial" w:cs="Arial"/>
                <w:i/>
                <w:iCs/>
                <w:szCs w:val="24"/>
              </w:rPr>
            </w:pPr>
          </w:p>
        </w:tc>
        <w:tc>
          <w:tcPr>
            <w:tcW w:w="3026" w:type="dxa"/>
            <w:tcBorders>
              <w:top w:val="single" w:sz="4" w:space="0" w:color="auto"/>
              <w:bottom w:val="single" w:sz="4" w:space="0" w:color="auto"/>
            </w:tcBorders>
            <w:shd w:val="clear" w:color="auto" w:fill="auto"/>
          </w:tcPr>
          <w:p w14:paraId="0E4C9AF7" w14:textId="77777777" w:rsidR="003065E2" w:rsidRPr="00C606A1" w:rsidRDefault="003065E2" w:rsidP="002D6CB0">
            <w:pPr>
              <w:spacing w:after="0" w:line="240" w:lineRule="auto"/>
              <w:jc w:val="both"/>
              <w:rPr>
                <w:rFonts w:ascii="Arial" w:hAnsi="Arial" w:cs="Arial"/>
                <w:i/>
                <w:iCs/>
                <w:szCs w:val="24"/>
              </w:rPr>
            </w:pPr>
            <w:r w:rsidRPr="00C606A1">
              <w:rPr>
                <w:rFonts w:ascii="Arial" w:hAnsi="Arial" w:cs="Arial"/>
                <w:i/>
                <w:iCs/>
                <w:szCs w:val="24"/>
              </w:rPr>
              <w:t>Periféricas o con escasos aportes</w:t>
            </w:r>
          </w:p>
          <w:p w14:paraId="2BE19C2C" w14:textId="77777777" w:rsidR="003065E2" w:rsidRPr="00C606A1" w:rsidRDefault="003065E2" w:rsidP="002D6CB0">
            <w:pPr>
              <w:spacing w:after="0" w:line="240" w:lineRule="auto"/>
              <w:jc w:val="both"/>
              <w:rPr>
                <w:rFonts w:ascii="Arial" w:hAnsi="Arial" w:cs="Arial"/>
                <w:i/>
                <w:iCs/>
                <w:szCs w:val="24"/>
              </w:rPr>
            </w:pPr>
          </w:p>
        </w:tc>
      </w:tr>
      <w:tr w:rsidR="003065E2" w:rsidRPr="00C606A1" w14:paraId="5F5246ED" w14:textId="77777777" w:rsidTr="00C606A1">
        <w:tc>
          <w:tcPr>
            <w:tcW w:w="1333" w:type="dxa"/>
            <w:tcBorders>
              <w:top w:val="single" w:sz="4" w:space="0" w:color="auto"/>
              <w:bottom w:val="single" w:sz="4" w:space="0" w:color="auto"/>
            </w:tcBorders>
            <w:shd w:val="clear" w:color="auto" w:fill="auto"/>
          </w:tcPr>
          <w:p w14:paraId="379D8F83" w14:textId="77777777" w:rsidR="003065E2" w:rsidRPr="00C606A1" w:rsidRDefault="003065E2" w:rsidP="002D6CB0">
            <w:pPr>
              <w:spacing w:after="0" w:line="240" w:lineRule="auto"/>
              <w:jc w:val="both"/>
              <w:rPr>
                <w:rFonts w:ascii="Arial" w:hAnsi="Arial" w:cs="Arial"/>
                <w:i/>
                <w:iCs/>
                <w:szCs w:val="24"/>
              </w:rPr>
            </w:pPr>
            <w:r w:rsidRPr="00C606A1">
              <w:rPr>
                <w:rFonts w:ascii="Arial" w:hAnsi="Arial" w:cs="Arial"/>
                <w:i/>
                <w:iCs/>
                <w:szCs w:val="24"/>
              </w:rPr>
              <w:t>Categorías y/o variables de estudio</w:t>
            </w:r>
          </w:p>
        </w:tc>
        <w:tc>
          <w:tcPr>
            <w:tcW w:w="2069" w:type="dxa"/>
            <w:tcBorders>
              <w:top w:val="single" w:sz="4" w:space="0" w:color="auto"/>
              <w:bottom w:val="single" w:sz="4" w:space="0" w:color="auto"/>
            </w:tcBorders>
            <w:shd w:val="clear" w:color="auto" w:fill="auto"/>
          </w:tcPr>
          <w:p w14:paraId="32976E5B"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Paridad de género en matrícula en nivel superior 3</w:t>
            </w:r>
          </w:p>
          <w:p w14:paraId="767163C2"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Género 3</w:t>
            </w:r>
          </w:p>
          <w:p w14:paraId="770D0D59" w14:textId="77777777" w:rsidR="003065E2" w:rsidRPr="00C606A1" w:rsidRDefault="003065E2" w:rsidP="002D6CB0">
            <w:pPr>
              <w:spacing w:after="0" w:line="240" w:lineRule="auto"/>
              <w:jc w:val="both"/>
              <w:rPr>
                <w:rFonts w:ascii="Arial" w:eastAsia="Calibri" w:hAnsi="Arial" w:cs="Arial"/>
                <w:szCs w:val="24"/>
              </w:rPr>
            </w:pPr>
          </w:p>
          <w:p w14:paraId="4AC6038C" w14:textId="77777777" w:rsidR="003065E2" w:rsidRPr="00C606A1" w:rsidRDefault="003065E2" w:rsidP="002D6CB0">
            <w:pPr>
              <w:spacing w:after="0" w:line="240" w:lineRule="auto"/>
              <w:jc w:val="both"/>
              <w:rPr>
                <w:rFonts w:ascii="Arial" w:eastAsia="Calibri" w:hAnsi="Arial" w:cs="Arial"/>
                <w:szCs w:val="24"/>
              </w:rPr>
            </w:pPr>
          </w:p>
          <w:p w14:paraId="2982E136" w14:textId="77777777" w:rsidR="003065E2" w:rsidRPr="00C606A1" w:rsidRDefault="003065E2" w:rsidP="002D6CB0">
            <w:pPr>
              <w:spacing w:after="0" w:line="240" w:lineRule="auto"/>
              <w:jc w:val="both"/>
              <w:rPr>
                <w:rFonts w:ascii="Arial" w:eastAsia="Calibri" w:hAnsi="Arial" w:cs="Arial"/>
                <w:szCs w:val="24"/>
              </w:rPr>
            </w:pPr>
          </w:p>
          <w:p w14:paraId="1D0695CF" w14:textId="77777777" w:rsidR="003065E2" w:rsidRPr="00C606A1" w:rsidRDefault="003065E2" w:rsidP="002D6CB0">
            <w:pPr>
              <w:spacing w:after="0" w:line="240" w:lineRule="auto"/>
              <w:jc w:val="both"/>
              <w:rPr>
                <w:rFonts w:ascii="Arial" w:eastAsia="Calibri" w:hAnsi="Arial" w:cs="Arial"/>
                <w:szCs w:val="24"/>
              </w:rPr>
            </w:pPr>
          </w:p>
          <w:p w14:paraId="20ADDABA" w14:textId="77777777" w:rsidR="003065E2" w:rsidRPr="00C606A1" w:rsidRDefault="003065E2" w:rsidP="002D6CB0">
            <w:pPr>
              <w:spacing w:after="0" w:line="240" w:lineRule="auto"/>
              <w:jc w:val="both"/>
              <w:rPr>
                <w:rFonts w:ascii="Arial" w:eastAsia="Calibri" w:hAnsi="Arial" w:cs="Arial"/>
                <w:szCs w:val="24"/>
              </w:rPr>
            </w:pPr>
          </w:p>
          <w:p w14:paraId="48ACD1B5" w14:textId="77777777" w:rsidR="003065E2" w:rsidRPr="00C606A1" w:rsidRDefault="003065E2" w:rsidP="002D6CB0">
            <w:pPr>
              <w:spacing w:after="0" w:line="240" w:lineRule="auto"/>
              <w:jc w:val="both"/>
              <w:rPr>
                <w:rFonts w:ascii="Arial" w:eastAsia="Calibri" w:hAnsi="Arial" w:cs="Arial"/>
                <w:szCs w:val="24"/>
              </w:rPr>
            </w:pPr>
          </w:p>
        </w:tc>
        <w:tc>
          <w:tcPr>
            <w:tcW w:w="2410" w:type="dxa"/>
            <w:tcBorders>
              <w:top w:val="single" w:sz="4" w:space="0" w:color="auto"/>
              <w:bottom w:val="single" w:sz="4" w:space="0" w:color="auto"/>
            </w:tcBorders>
            <w:shd w:val="clear" w:color="auto" w:fill="auto"/>
          </w:tcPr>
          <w:p w14:paraId="28F5F92D"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Violencia  de las mujeres 2</w:t>
            </w:r>
          </w:p>
          <w:p w14:paraId="7F6506D0"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Violencia de género 2</w:t>
            </w:r>
          </w:p>
          <w:p w14:paraId="61C3671A"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Equidad de género 2</w:t>
            </w:r>
          </w:p>
          <w:p w14:paraId="20572EEF"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Papel de científicas y mujeres académicas 2</w:t>
            </w:r>
          </w:p>
          <w:p w14:paraId="4BB03C2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Evaluación institucional 2</w:t>
            </w:r>
          </w:p>
          <w:p w14:paraId="43014A69"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Segregación o brecha por género 2</w:t>
            </w:r>
          </w:p>
          <w:p w14:paraId="23908399"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Identidad docente 2</w:t>
            </w:r>
          </w:p>
          <w:p w14:paraId="7A155C2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Perspectiva de género 2</w:t>
            </w:r>
          </w:p>
          <w:p w14:paraId="207DEACA" w14:textId="77777777" w:rsidR="003065E2" w:rsidRPr="00C606A1" w:rsidRDefault="003065E2" w:rsidP="002D6CB0">
            <w:pPr>
              <w:spacing w:after="0" w:line="240" w:lineRule="auto"/>
              <w:jc w:val="both"/>
              <w:rPr>
                <w:rFonts w:ascii="Arial" w:eastAsia="Calibri" w:hAnsi="Arial" w:cs="Arial"/>
                <w:szCs w:val="24"/>
              </w:rPr>
            </w:pPr>
          </w:p>
          <w:p w14:paraId="19A502F4" w14:textId="77777777" w:rsidR="003065E2" w:rsidRPr="00C606A1" w:rsidRDefault="003065E2" w:rsidP="002D6CB0">
            <w:pPr>
              <w:spacing w:after="0" w:line="240" w:lineRule="auto"/>
              <w:jc w:val="both"/>
              <w:rPr>
                <w:rFonts w:ascii="Arial" w:eastAsia="Calibri" w:hAnsi="Arial" w:cs="Arial"/>
                <w:szCs w:val="24"/>
              </w:rPr>
            </w:pPr>
          </w:p>
          <w:p w14:paraId="6A6F0DA0" w14:textId="77777777" w:rsidR="003065E2" w:rsidRPr="00C606A1" w:rsidRDefault="003065E2" w:rsidP="002D6CB0">
            <w:pPr>
              <w:spacing w:after="0" w:line="240" w:lineRule="auto"/>
              <w:jc w:val="both"/>
              <w:rPr>
                <w:rFonts w:ascii="Arial" w:eastAsia="Calibri" w:hAnsi="Arial" w:cs="Arial"/>
                <w:szCs w:val="24"/>
              </w:rPr>
            </w:pPr>
          </w:p>
          <w:p w14:paraId="416A9BCD" w14:textId="77777777" w:rsidR="003065E2" w:rsidRPr="00C606A1" w:rsidRDefault="003065E2" w:rsidP="002D6CB0">
            <w:pPr>
              <w:spacing w:after="0" w:line="240" w:lineRule="auto"/>
              <w:jc w:val="both"/>
              <w:rPr>
                <w:rFonts w:ascii="Arial" w:eastAsia="Calibri" w:hAnsi="Arial" w:cs="Arial"/>
                <w:szCs w:val="24"/>
              </w:rPr>
            </w:pPr>
          </w:p>
        </w:tc>
        <w:tc>
          <w:tcPr>
            <w:tcW w:w="3026" w:type="dxa"/>
            <w:tcBorders>
              <w:top w:val="single" w:sz="4" w:space="0" w:color="auto"/>
              <w:bottom w:val="single" w:sz="4" w:space="0" w:color="auto"/>
            </w:tcBorders>
            <w:shd w:val="clear" w:color="auto" w:fill="auto"/>
          </w:tcPr>
          <w:p w14:paraId="31E7D7C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Trayectorias académicas (Doble presencia) 1</w:t>
            </w:r>
          </w:p>
          <w:p w14:paraId="264E7C29"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Techo de cristal 1</w:t>
            </w:r>
          </w:p>
          <w:p w14:paraId="2BFDFC93"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Sistema educativo nacional 1</w:t>
            </w:r>
          </w:p>
          <w:p w14:paraId="49CF5869"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Desigualdad educativa 1</w:t>
            </w:r>
          </w:p>
          <w:p w14:paraId="327F9926"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Androcentrismo en evaluación 1</w:t>
            </w:r>
          </w:p>
          <w:p w14:paraId="64231AF3"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Formación docente 1</w:t>
            </w:r>
          </w:p>
          <w:p w14:paraId="31CDB571"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Condiciones laborales 1</w:t>
            </w:r>
          </w:p>
          <w:p w14:paraId="3BB68FB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Ubicación laboral por género 1</w:t>
            </w:r>
          </w:p>
          <w:p w14:paraId="65B4F769"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Elección de universidad 1</w:t>
            </w:r>
          </w:p>
          <w:p w14:paraId="6A84685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Capital cultural 1</w:t>
            </w:r>
          </w:p>
          <w:p w14:paraId="74A47CDE"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Identidad de género 1</w:t>
            </w:r>
          </w:p>
          <w:p w14:paraId="65573C9E"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Visión de género 1</w:t>
            </w:r>
          </w:p>
          <w:p w14:paraId="5EBD6FDC"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Desempeño en matemáticas 1</w:t>
            </w:r>
          </w:p>
          <w:p w14:paraId="24792B6E" w14:textId="77777777" w:rsidR="003065E2" w:rsidRPr="00C606A1" w:rsidRDefault="003065E2" w:rsidP="002D6CB0">
            <w:pPr>
              <w:spacing w:after="0" w:line="240" w:lineRule="auto"/>
              <w:jc w:val="both"/>
              <w:rPr>
                <w:rFonts w:ascii="Arial" w:eastAsia="Calibri" w:hAnsi="Arial" w:cs="Arial"/>
                <w:szCs w:val="24"/>
              </w:rPr>
            </w:pPr>
            <w:proofErr w:type="spellStart"/>
            <w:r w:rsidRPr="00C606A1">
              <w:rPr>
                <w:rFonts w:ascii="Arial" w:eastAsia="Calibri" w:hAnsi="Arial" w:cs="Arial"/>
                <w:szCs w:val="24"/>
              </w:rPr>
              <w:t>Curriculum</w:t>
            </w:r>
            <w:proofErr w:type="spellEnd"/>
            <w:r w:rsidRPr="00C606A1">
              <w:rPr>
                <w:rFonts w:ascii="Arial" w:eastAsia="Calibri" w:hAnsi="Arial" w:cs="Arial"/>
                <w:szCs w:val="24"/>
              </w:rPr>
              <w:t xml:space="preserve"> 1</w:t>
            </w:r>
          </w:p>
          <w:p w14:paraId="5783F300"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Lenguaje sexista 1</w:t>
            </w:r>
          </w:p>
          <w:p w14:paraId="7C0E313F"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Condiciones de vida de mujeres 1</w:t>
            </w:r>
          </w:p>
          <w:p w14:paraId="47842D74"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Abandono escolar 1</w:t>
            </w:r>
          </w:p>
          <w:p w14:paraId="34D0A6D0"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Estereotipos de género 1</w:t>
            </w:r>
          </w:p>
          <w:p w14:paraId="439C5413" w14:textId="77777777" w:rsidR="003065E2" w:rsidRPr="00C606A1" w:rsidRDefault="003065E2" w:rsidP="002D6CB0">
            <w:pPr>
              <w:spacing w:after="0" w:line="240" w:lineRule="auto"/>
              <w:jc w:val="both"/>
              <w:rPr>
                <w:rFonts w:ascii="Arial" w:eastAsia="Calibri" w:hAnsi="Arial" w:cs="Arial"/>
                <w:szCs w:val="24"/>
              </w:rPr>
            </w:pPr>
            <w:r w:rsidRPr="00C606A1">
              <w:rPr>
                <w:rFonts w:ascii="Arial" w:eastAsia="Calibri" w:hAnsi="Arial" w:cs="Arial"/>
                <w:szCs w:val="24"/>
              </w:rPr>
              <w:t>Talento tecnológico 1</w:t>
            </w:r>
          </w:p>
        </w:tc>
      </w:tr>
    </w:tbl>
    <w:p w14:paraId="7277CCC2" w14:textId="77777777" w:rsidR="003065E2" w:rsidRPr="000A154B" w:rsidRDefault="003065E2" w:rsidP="002D6CB0">
      <w:pPr>
        <w:pStyle w:val="Default"/>
        <w:spacing w:line="480" w:lineRule="auto"/>
        <w:jc w:val="both"/>
        <w:rPr>
          <w:rFonts w:ascii="Arial" w:hAnsi="Arial" w:cs="Arial"/>
          <w:i/>
          <w:color w:val="auto"/>
        </w:rPr>
      </w:pPr>
    </w:p>
    <w:p w14:paraId="78F7266F" w14:textId="77777777" w:rsidR="003065E2" w:rsidRPr="000A154B" w:rsidRDefault="003065E2" w:rsidP="002D6CB0">
      <w:pPr>
        <w:pStyle w:val="Default"/>
        <w:spacing w:line="480" w:lineRule="auto"/>
        <w:jc w:val="both"/>
        <w:rPr>
          <w:rFonts w:ascii="Arial" w:hAnsi="Arial" w:cs="Arial"/>
          <w:i/>
          <w:color w:val="auto"/>
        </w:rPr>
      </w:pPr>
      <w:r w:rsidRPr="000A154B">
        <w:rPr>
          <w:rFonts w:ascii="Arial" w:hAnsi="Arial" w:cs="Arial"/>
          <w:i/>
          <w:color w:val="auto"/>
        </w:rPr>
        <w:t>Fuente: Elaboración propia.</w:t>
      </w:r>
    </w:p>
    <w:p w14:paraId="5F756E5C" w14:textId="77777777" w:rsidR="00C704F5" w:rsidRPr="00C704F5" w:rsidRDefault="00C704F5" w:rsidP="002D6CB0">
      <w:pPr>
        <w:spacing w:line="480" w:lineRule="auto"/>
        <w:jc w:val="both"/>
        <w:rPr>
          <w:rFonts w:ascii="Arial" w:hAnsi="Arial" w:cs="Arial"/>
          <w:b/>
          <w:sz w:val="24"/>
          <w:szCs w:val="24"/>
        </w:rPr>
      </w:pPr>
      <w:r w:rsidRPr="00C704F5">
        <w:rPr>
          <w:rFonts w:ascii="Arial" w:hAnsi="Arial" w:cs="Arial"/>
          <w:b/>
          <w:sz w:val="24"/>
          <w:szCs w:val="24"/>
        </w:rPr>
        <w:t>Dimensión 2</w:t>
      </w:r>
      <w:r w:rsidRPr="00C704F5">
        <w:rPr>
          <w:rFonts w:ascii="Arial" w:hAnsi="Arial" w:cs="Arial"/>
          <w:b/>
          <w:sz w:val="24"/>
          <w:szCs w:val="24"/>
        </w:rPr>
        <w:t xml:space="preserve">. </w:t>
      </w:r>
      <w:r w:rsidRPr="00C704F5">
        <w:rPr>
          <w:rFonts w:ascii="Arial" w:hAnsi="Arial" w:cs="Arial"/>
          <w:b/>
          <w:sz w:val="24"/>
          <w:szCs w:val="24"/>
        </w:rPr>
        <w:t>Nivel de concreción epistemológica</w:t>
      </w:r>
    </w:p>
    <w:p w14:paraId="3193776D" w14:textId="7578CB66" w:rsidR="00C704F5" w:rsidRPr="000A154B" w:rsidRDefault="00C704F5" w:rsidP="00350B46">
      <w:pPr>
        <w:spacing w:line="480" w:lineRule="auto"/>
        <w:ind w:firstLine="708"/>
        <w:jc w:val="both"/>
        <w:rPr>
          <w:rFonts w:ascii="Arial" w:hAnsi="Arial" w:cs="Arial"/>
          <w:sz w:val="24"/>
          <w:szCs w:val="24"/>
        </w:rPr>
      </w:pPr>
      <w:r w:rsidRPr="000A154B">
        <w:rPr>
          <w:rFonts w:ascii="Arial" w:hAnsi="Arial" w:cs="Arial"/>
          <w:sz w:val="24"/>
          <w:szCs w:val="24"/>
        </w:rPr>
        <w:t xml:space="preserve">En la tabla </w:t>
      </w:r>
      <w:r>
        <w:rPr>
          <w:rFonts w:ascii="Arial" w:hAnsi="Arial" w:cs="Arial"/>
          <w:sz w:val="24"/>
          <w:szCs w:val="24"/>
        </w:rPr>
        <w:t>2</w:t>
      </w:r>
      <w:r w:rsidRPr="000A154B">
        <w:rPr>
          <w:rFonts w:ascii="Arial" w:hAnsi="Arial" w:cs="Arial"/>
          <w:sz w:val="24"/>
          <w:szCs w:val="24"/>
        </w:rPr>
        <w:t xml:space="preserve"> se presentan las ponencias sobre género clasificadas por CNIE así como las estrategias epistemológicas empleadas por los ponentes. </w:t>
      </w:r>
    </w:p>
    <w:p w14:paraId="7CA315E6" w14:textId="77777777" w:rsidR="00C704F5" w:rsidRDefault="00C704F5" w:rsidP="002D6CB0">
      <w:pPr>
        <w:spacing w:line="480" w:lineRule="auto"/>
        <w:jc w:val="both"/>
        <w:rPr>
          <w:rFonts w:ascii="Arial" w:hAnsi="Arial" w:cs="Arial"/>
          <w:sz w:val="24"/>
          <w:szCs w:val="24"/>
        </w:rPr>
      </w:pPr>
    </w:p>
    <w:p w14:paraId="0159565C" w14:textId="06E3B28D" w:rsidR="00C704F5" w:rsidRPr="000A154B" w:rsidRDefault="00C704F5" w:rsidP="002D6CB0">
      <w:pPr>
        <w:spacing w:line="480" w:lineRule="auto"/>
        <w:jc w:val="both"/>
        <w:rPr>
          <w:rFonts w:ascii="Arial" w:hAnsi="Arial" w:cs="Arial"/>
          <w:sz w:val="24"/>
          <w:szCs w:val="24"/>
        </w:rPr>
      </w:pPr>
      <w:r>
        <w:rPr>
          <w:rFonts w:ascii="Arial" w:hAnsi="Arial" w:cs="Arial"/>
          <w:sz w:val="24"/>
          <w:szCs w:val="24"/>
        </w:rPr>
        <w:t>Tabla 2</w:t>
      </w:r>
      <w:r w:rsidRPr="000A154B">
        <w:rPr>
          <w:rFonts w:ascii="Arial" w:hAnsi="Arial" w:cs="Arial"/>
          <w:sz w:val="24"/>
          <w:szCs w:val="24"/>
        </w:rPr>
        <w:t>. Clasificación de ponencias por CNIE y estrategia epistemológica empleada.</w:t>
      </w:r>
    </w:p>
    <w:tbl>
      <w:tblPr>
        <w:tblStyle w:val="Tablaconcuadrcu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
        <w:gridCol w:w="2310"/>
        <w:gridCol w:w="2421"/>
        <w:gridCol w:w="2310"/>
      </w:tblGrid>
      <w:tr w:rsidR="00C704F5" w:rsidRPr="00C704F5" w14:paraId="6530B284" w14:textId="77777777" w:rsidTr="00C704F5">
        <w:tc>
          <w:tcPr>
            <w:tcW w:w="2080" w:type="dxa"/>
            <w:tcBorders>
              <w:top w:val="single" w:sz="4" w:space="0" w:color="auto"/>
              <w:bottom w:val="single" w:sz="4" w:space="0" w:color="auto"/>
            </w:tcBorders>
            <w:hideMark/>
          </w:tcPr>
          <w:p w14:paraId="2BD35E77"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Estrategia epistemológica/CNIE</w:t>
            </w:r>
          </w:p>
        </w:tc>
        <w:tc>
          <w:tcPr>
            <w:tcW w:w="2310" w:type="dxa"/>
            <w:tcBorders>
              <w:top w:val="single" w:sz="4" w:space="0" w:color="auto"/>
              <w:bottom w:val="single" w:sz="4" w:space="0" w:color="auto"/>
            </w:tcBorders>
            <w:hideMark/>
          </w:tcPr>
          <w:p w14:paraId="66DBD42B"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IX</w:t>
            </w:r>
          </w:p>
        </w:tc>
        <w:tc>
          <w:tcPr>
            <w:tcW w:w="2421" w:type="dxa"/>
            <w:tcBorders>
              <w:top w:val="single" w:sz="4" w:space="0" w:color="auto"/>
              <w:bottom w:val="single" w:sz="4" w:space="0" w:color="auto"/>
            </w:tcBorders>
            <w:hideMark/>
          </w:tcPr>
          <w:p w14:paraId="1A6766C4"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X</w:t>
            </w:r>
          </w:p>
        </w:tc>
        <w:tc>
          <w:tcPr>
            <w:tcW w:w="2310" w:type="dxa"/>
            <w:tcBorders>
              <w:top w:val="single" w:sz="4" w:space="0" w:color="auto"/>
              <w:bottom w:val="single" w:sz="4" w:space="0" w:color="auto"/>
            </w:tcBorders>
            <w:hideMark/>
          </w:tcPr>
          <w:p w14:paraId="0BDE2B52"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XI</w:t>
            </w:r>
          </w:p>
        </w:tc>
      </w:tr>
      <w:tr w:rsidR="00C704F5" w:rsidRPr="00C704F5" w14:paraId="68E10525" w14:textId="77777777" w:rsidTr="00C704F5">
        <w:tc>
          <w:tcPr>
            <w:tcW w:w="2080" w:type="dxa"/>
            <w:tcBorders>
              <w:top w:val="single" w:sz="4" w:space="0" w:color="auto"/>
            </w:tcBorders>
            <w:hideMark/>
          </w:tcPr>
          <w:p w14:paraId="183D67F8"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Verificativa</w:t>
            </w:r>
          </w:p>
        </w:tc>
        <w:tc>
          <w:tcPr>
            <w:tcW w:w="2310" w:type="dxa"/>
            <w:tcBorders>
              <w:top w:val="single" w:sz="4" w:space="0" w:color="auto"/>
              <w:bottom w:val="single" w:sz="4" w:space="0" w:color="auto"/>
            </w:tcBorders>
          </w:tcPr>
          <w:p w14:paraId="06CA4BCC" w14:textId="77777777" w:rsidR="00C704F5" w:rsidRPr="00C704F5" w:rsidRDefault="00C704F5" w:rsidP="002D6CB0">
            <w:pPr>
              <w:jc w:val="both"/>
              <w:rPr>
                <w:rFonts w:ascii="Arial" w:hAnsi="Arial" w:cs="Arial"/>
                <w:sz w:val="20"/>
                <w:szCs w:val="24"/>
              </w:rPr>
            </w:pPr>
          </w:p>
        </w:tc>
        <w:tc>
          <w:tcPr>
            <w:tcW w:w="2421" w:type="dxa"/>
            <w:tcBorders>
              <w:top w:val="single" w:sz="4" w:space="0" w:color="auto"/>
              <w:bottom w:val="single" w:sz="4" w:space="0" w:color="auto"/>
            </w:tcBorders>
            <w:hideMark/>
          </w:tcPr>
          <w:p w14:paraId="19CA7527" w14:textId="77777777" w:rsidR="00C704F5" w:rsidRPr="00C704F5" w:rsidRDefault="00C704F5" w:rsidP="002D6CB0">
            <w:pPr>
              <w:pStyle w:val="Prrafodelista"/>
              <w:numPr>
                <w:ilvl w:val="0"/>
                <w:numId w:val="9"/>
              </w:numPr>
              <w:spacing w:line="240" w:lineRule="auto"/>
              <w:rPr>
                <w:rFonts w:ascii="Arial" w:hAnsi="Arial" w:cs="Arial"/>
                <w:sz w:val="20"/>
              </w:rPr>
            </w:pPr>
            <w:r w:rsidRPr="00C704F5">
              <w:rPr>
                <w:rFonts w:ascii="Arial" w:hAnsi="Arial" w:cs="Arial"/>
                <w:sz w:val="20"/>
              </w:rPr>
              <w:t>Realiza análisis descriptivo.</w:t>
            </w:r>
          </w:p>
          <w:p w14:paraId="06FD1ACF" w14:textId="77777777" w:rsidR="00C704F5" w:rsidRPr="00C704F5" w:rsidRDefault="00C704F5" w:rsidP="002D6CB0">
            <w:pPr>
              <w:pStyle w:val="Prrafodelista"/>
              <w:numPr>
                <w:ilvl w:val="0"/>
                <w:numId w:val="9"/>
              </w:numPr>
              <w:spacing w:line="240" w:lineRule="auto"/>
              <w:rPr>
                <w:rFonts w:ascii="Arial" w:hAnsi="Arial" w:cs="Arial"/>
                <w:sz w:val="20"/>
              </w:rPr>
            </w:pPr>
            <w:r w:rsidRPr="00C704F5">
              <w:rPr>
                <w:rFonts w:ascii="Arial" w:hAnsi="Arial" w:cs="Arial"/>
                <w:sz w:val="20"/>
              </w:rPr>
              <w:t>Aplica cuestionario escala.</w:t>
            </w:r>
          </w:p>
          <w:p w14:paraId="36FA2F2C" w14:textId="77777777" w:rsidR="00C704F5" w:rsidRPr="00C704F5" w:rsidRDefault="00C704F5" w:rsidP="002D6CB0">
            <w:pPr>
              <w:pStyle w:val="Prrafodelista"/>
              <w:numPr>
                <w:ilvl w:val="0"/>
                <w:numId w:val="9"/>
              </w:numPr>
              <w:spacing w:line="240" w:lineRule="auto"/>
              <w:rPr>
                <w:rFonts w:ascii="Arial" w:hAnsi="Arial" w:cs="Arial"/>
                <w:sz w:val="20"/>
              </w:rPr>
            </w:pPr>
            <w:r w:rsidRPr="00C704F5">
              <w:rPr>
                <w:rFonts w:ascii="Arial" w:hAnsi="Arial" w:cs="Arial"/>
                <w:sz w:val="20"/>
              </w:rPr>
              <w:t>Emplea diseño cuasi-experimental con grupos experimentales y grupos control.</w:t>
            </w:r>
          </w:p>
          <w:p w14:paraId="36F078C3" w14:textId="77777777" w:rsidR="00C704F5" w:rsidRPr="00C704F5" w:rsidRDefault="00C704F5" w:rsidP="002D6CB0">
            <w:pPr>
              <w:pStyle w:val="Prrafodelista"/>
              <w:numPr>
                <w:ilvl w:val="0"/>
                <w:numId w:val="9"/>
              </w:numPr>
              <w:spacing w:line="240" w:lineRule="auto"/>
              <w:rPr>
                <w:rFonts w:ascii="Arial" w:hAnsi="Arial" w:cs="Arial"/>
                <w:sz w:val="20"/>
              </w:rPr>
            </w:pPr>
            <w:r w:rsidRPr="00C704F5">
              <w:rPr>
                <w:rFonts w:ascii="Arial" w:hAnsi="Arial" w:cs="Arial"/>
                <w:sz w:val="20"/>
              </w:rPr>
              <w:t>Realiza descripción en un solo tiempo.</w:t>
            </w:r>
          </w:p>
        </w:tc>
        <w:tc>
          <w:tcPr>
            <w:tcW w:w="2310" w:type="dxa"/>
            <w:tcBorders>
              <w:top w:val="single" w:sz="4" w:space="0" w:color="auto"/>
              <w:bottom w:val="single" w:sz="4" w:space="0" w:color="auto"/>
            </w:tcBorders>
          </w:tcPr>
          <w:p w14:paraId="42559925" w14:textId="77777777" w:rsidR="00C704F5" w:rsidRPr="00C704F5" w:rsidRDefault="00C704F5" w:rsidP="002D6CB0">
            <w:pPr>
              <w:jc w:val="both"/>
              <w:rPr>
                <w:rFonts w:ascii="Arial" w:hAnsi="Arial" w:cs="Arial"/>
                <w:sz w:val="20"/>
                <w:szCs w:val="24"/>
              </w:rPr>
            </w:pPr>
          </w:p>
        </w:tc>
      </w:tr>
      <w:tr w:rsidR="00C704F5" w:rsidRPr="00C704F5" w14:paraId="1A7D26C3" w14:textId="77777777" w:rsidTr="00C704F5">
        <w:tc>
          <w:tcPr>
            <w:tcW w:w="2080" w:type="dxa"/>
            <w:hideMark/>
          </w:tcPr>
          <w:p w14:paraId="1B8F3B14"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Constructivismo</w:t>
            </w:r>
          </w:p>
          <w:p w14:paraId="60DA318D"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Interpretación</w:t>
            </w:r>
          </w:p>
          <w:p w14:paraId="2DABCC69"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Crítica</w:t>
            </w:r>
          </w:p>
        </w:tc>
        <w:tc>
          <w:tcPr>
            <w:tcW w:w="2310" w:type="dxa"/>
            <w:tcBorders>
              <w:top w:val="single" w:sz="4" w:space="0" w:color="auto"/>
              <w:bottom w:val="single" w:sz="4" w:space="0" w:color="auto"/>
            </w:tcBorders>
            <w:hideMark/>
          </w:tcPr>
          <w:p w14:paraId="32CD97FC" w14:textId="77777777" w:rsidR="00C704F5" w:rsidRPr="00C704F5" w:rsidRDefault="00C704F5" w:rsidP="002D6CB0">
            <w:pPr>
              <w:pStyle w:val="Prrafodelista"/>
              <w:numPr>
                <w:ilvl w:val="0"/>
                <w:numId w:val="10"/>
              </w:numPr>
              <w:spacing w:line="240" w:lineRule="auto"/>
              <w:rPr>
                <w:rFonts w:ascii="Arial" w:hAnsi="Arial" w:cs="Arial"/>
                <w:sz w:val="20"/>
              </w:rPr>
            </w:pPr>
            <w:r w:rsidRPr="00C704F5">
              <w:rPr>
                <w:rFonts w:ascii="Arial" w:hAnsi="Arial" w:cs="Arial"/>
                <w:sz w:val="20"/>
              </w:rPr>
              <w:t>Retoma el constructivismo y la interpretación como estrategias de reconstrucción del estudio.</w:t>
            </w:r>
          </w:p>
          <w:p w14:paraId="144C6F19" w14:textId="77777777" w:rsidR="00C704F5" w:rsidRPr="00C704F5" w:rsidRDefault="00C704F5" w:rsidP="002D6CB0">
            <w:pPr>
              <w:pStyle w:val="Prrafodelista"/>
              <w:numPr>
                <w:ilvl w:val="0"/>
                <w:numId w:val="10"/>
              </w:numPr>
              <w:spacing w:line="240" w:lineRule="auto"/>
              <w:rPr>
                <w:rFonts w:ascii="Arial" w:hAnsi="Arial" w:cs="Arial"/>
                <w:sz w:val="20"/>
              </w:rPr>
            </w:pPr>
            <w:r w:rsidRPr="00C704F5">
              <w:rPr>
                <w:rFonts w:ascii="Arial" w:hAnsi="Arial" w:cs="Arial"/>
                <w:sz w:val="20"/>
              </w:rPr>
              <w:t>Retoma el constructivismo y la interpretación como estrategias de reconstrucción del estudio.</w:t>
            </w:r>
          </w:p>
        </w:tc>
        <w:tc>
          <w:tcPr>
            <w:tcW w:w="2421" w:type="dxa"/>
            <w:tcBorders>
              <w:top w:val="single" w:sz="4" w:space="0" w:color="auto"/>
              <w:bottom w:val="single" w:sz="4" w:space="0" w:color="auto"/>
            </w:tcBorders>
          </w:tcPr>
          <w:p w14:paraId="534ECFAC" w14:textId="77777777" w:rsidR="00C704F5" w:rsidRPr="00C704F5" w:rsidRDefault="00C704F5" w:rsidP="002D6CB0">
            <w:pPr>
              <w:jc w:val="both"/>
              <w:rPr>
                <w:rFonts w:ascii="Arial" w:hAnsi="Arial" w:cs="Arial"/>
                <w:sz w:val="20"/>
                <w:szCs w:val="24"/>
              </w:rPr>
            </w:pPr>
          </w:p>
        </w:tc>
        <w:tc>
          <w:tcPr>
            <w:tcW w:w="2310" w:type="dxa"/>
            <w:tcBorders>
              <w:top w:val="single" w:sz="4" w:space="0" w:color="auto"/>
              <w:bottom w:val="single" w:sz="4" w:space="0" w:color="auto"/>
            </w:tcBorders>
          </w:tcPr>
          <w:p w14:paraId="1181DF2A" w14:textId="77777777" w:rsidR="00C704F5" w:rsidRPr="00C704F5" w:rsidRDefault="00C704F5" w:rsidP="002D6CB0">
            <w:pPr>
              <w:pStyle w:val="Prrafodelista"/>
              <w:numPr>
                <w:ilvl w:val="0"/>
                <w:numId w:val="11"/>
              </w:numPr>
              <w:spacing w:line="240" w:lineRule="auto"/>
              <w:rPr>
                <w:rFonts w:ascii="Arial" w:hAnsi="Arial" w:cs="Arial"/>
                <w:sz w:val="20"/>
              </w:rPr>
            </w:pPr>
            <w:r w:rsidRPr="00C704F5">
              <w:rPr>
                <w:rFonts w:ascii="Arial" w:hAnsi="Arial" w:cs="Arial"/>
                <w:sz w:val="20"/>
              </w:rPr>
              <w:t>Retoma el constructivismo y la interpretación como estrategias de reconstrucción del estudio.</w:t>
            </w:r>
          </w:p>
          <w:p w14:paraId="3E5B1464" w14:textId="77777777" w:rsidR="00C704F5" w:rsidRPr="00C704F5" w:rsidRDefault="00C704F5" w:rsidP="002D6CB0">
            <w:pPr>
              <w:pStyle w:val="Prrafodelista"/>
              <w:numPr>
                <w:ilvl w:val="0"/>
                <w:numId w:val="11"/>
              </w:numPr>
              <w:spacing w:line="240" w:lineRule="auto"/>
              <w:rPr>
                <w:rFonts w:ascii="Arial" w:hAnsi="Arial" w:cs="Arial"/>
                <w:sz w:val="20"/>
              </w:rPr>
            </w:pPr>
            <w:r w:rsidRPr="00C704F5">
              <w:rPr>
                <w:rFonts w:ascii="Arial" w:hAnsi="Arial" w:cs="Arial"/>
                <w:sz w:val="20"/>
              </w:rPr>
              <w:t>Retoma el constructivismo y la interpretación como estrategias de reconstrucción del estudio.</w:t>
            </w:r>
          </w:p>
          <w:p w14:paraId="472A1AC4" w14:textId="77777777" w:rsidR="00C704F5" w:rsidRPr="00C704F5" w:rsidRDefault="00C704F5" w:rsidP="002D6CB0">
            <w:pPr>
              <w:pStyle w:val="Prrafodelista"/>
              <w:numPr>
                <w:ilvl w:val="0"/>
                <w:numId w:val="11"/>
              </w:numPr>
              <w:spacing w:line="240" w:lineRule="auto"/>
              <w:rPr>
                <w:rFonts w:ascii="Arial" w:hAnsi="Arial" w:cs="Arial"/>
                <w:sz w:val="20"/>
              </w:rPr>
            </w:pPr>
            <w:r w:rsidRPr="00C704F5">
              <w:rPr>
                <w:rFonts w:ascii="Arial" w:hAnsi="Arial" w:cs="Arial"/>
                <w:sz w:val="20"/>
              </w:rPr>
              <w:t>Retoma el constructivismo y la interpretación como estrategias de reconstrucción del estudio.</w:t>
            </w:r>
          </w:p>
          <w:p w14:paraId="3551B442" w14:textId="77777777" w:rsidR="00C704F5" w:rsidRPr="00C704F5" w:rsidRDefault="00C704F5" w:rsidP="002D6CB0">
            <w:pPr>
              <w:pStyle w:val="Prrafodelista"/>
              <w:spacing w:line="240" w:lineRule="auto"/>
              <w:rPr>
                <w:rFonts w:ascii="Arial" w:hAnsi="Arial" w:cs="Arial"/>
                <w:sz w:val="20"/>
              </w:rPr>
            </w:pPr>
          </w:p>
        </w:tc>
      </w:tr>
      <w:tr w:rsidR="00C704F5" w:rsidRPr="00C704F5" w14:paraId="4673AFDA" w14:textId="77777777" w:rsidTr="00C704F5">
        <w:tc>
          <w:tcPr>
            <w:tcW w:w="2080" w:type="dxa"/>
            <w:tcBorders>
              <w:bottom w:val="single" w:sz="4" w:space="0" w:color="auto"/>
            </w:tcBorders>
            <w:hideMark/>
          </w:tcPr>
          <w:p w14:paraId="4E44D810"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No describe elementos para clasificar</w:t>
            </w:r>
          </w:p>
        </w:tc>
        <w:tc>
          <w:tcPr>
            <w:tcW w:w="2310" w:type="dxa"/>
            <w:tcBorders>
              <w:top w:val="single" w:sz="4" w:space="0" w:color="auto"/>
              <w:bottom w:val="single" w:sz="4" w:space="0" w:color="auto"/>
            </w:tcBorders>
          </w:tcPr>
          <w:p w14:paraId="4221B3C1" w14:textId="77777777" w:rsidR="00C704F5" w:rsidRPr="00C704F5" w:rsidRDefault="00C704F5" w:rsidP="002D6CB0">
            <w:pPr>
              <w:pStyle w:val="Prrafodelista"/>
              <w:spacing w:line="240" w:lineRule="auto"/>
              <w:rPr>
                <w:rFonts w:ascii="Arial" w:hAnsi="Arial" w:cs="Arial"/>
                <w:sz w:val="20"/>
              </w:rPr>
            </w:pPr>
          </w:p>
        </w:tc>
        <w:tc>
          <w:tcPr>
            <w:tcW w:w="2421" w:type="dxa"/>
            <w:tcBorders>
              <w:top w:val="single" w:sz="4" w:space="0" w:color="auto"/>
              <w:bottom w:val="single" w:sz="4" w:space="0" w:color="auto"/>
            </w:tcBorders>
            <w:hideMark/>
          </w:tcPr>
          <w:p w14:paraId="21F9DA11" w14:textId="77777777" w:rsidR="00C704F5" w:rsidRPr="00C704F5" w:rsidRDefault="00C704F5" w:rsidP="002D6CB0">
            <w:pPr>
              <w:pStyle w:val="Prrafodelista"/>
              <w:numPr>
                <w:ilvl w:val="0"/>
                <w:numId w:val="12"/>
              </w:numPr>
              <w:spacing w:line="240" w:lineRule="auto"/>
              <w:rPr>
                <w:rFonts w:ascii="Arial" w:hAnsi="Arial" w:cs="Arial"/>
                <w:sz w:val="20"/>
              </w:rPr>
            </w:pPr>
            <w:r w:rsidRPr="00C704F5">
              <w:rPr>
                <w:rFonts w:ascii="Arial" w:hAnsi="Arial" w:cs="Arial"/>
                <w:sz w:val="20"/>
              </w:rPr>
              <w:t>No describe procesos epistemológicos.</w:t>
            </w:r>
          </w:p>
          <w:p w14:paraId="092F87AF" w14:textId="77777777" w:rsidR="00C704F5" w:rsidRPr="00C704F5" w:rsidRDefault="00C704F5" w:rsidP="002D6CB0">
            <w:pPr>
              <w:pStyle w:val="Prrafodelista"/>
              <w:numPr>
                <w:ilvl w:val="0"/>
                <w:numId w:val="12"/>
              </w:numPr>
              <w:spacing w:line="240" w:lineRule="auto"/>
              <w:rPr>
                <w:rFonts w:ascii="Arial" w:hAnsi="Arial" w:cs="Arial"/>
                <w:sz w:val="20"/>
              </w:rPr>
            </w:pPr>
            <w:r w:rsidRPr="00C704F5">
              <w:rPr>
                <w:rFonts w:ascii="Arial" w:hAnsi="Arial" w:cs="Arial"/>
                <w:sz w:val="20"/>
              </w:rPr>
              <w:t>No describe procesos epistemológicos.</w:t>
            </w:r>
          </w:p>
        </w:tc>
        <w:tc>
          <w:tcPr>
            <w:tcW w:w="2310" w:type="dxa"/>
            <w:tcBorders>
              <w:top w:val="single" w:sz="4" w:space="0" w:color="auto"/>
              <w:bottom w:val="single" w:sz="4" w:space="0" w:color="auto"/>
            </w:tcBorders>
          </w:tcPr>
          <w:p w14:paraId="7F74FF51" w14:textId="77777777" w:rsidR="00C704F5" w:rsidRPr="00C704F5" w:rsidRDefault="00C704F5" w:rsidP="002D6CB0">
            <w:pPr>
              <w:jc w:val="both"/>
              <w:rPr>
                <w:rFonts w:ascii="Arial" w:hAnsi="Arial" w:cs="Arial"/>
                <w:sz w:val="20"/>
                <w:szCs w:val="24"/>
              </w:rPr>
            </w:pPr>
          </w:p>
        </w:tc>
      </w:tr>
    </w:tbl>
    <w:p w14:paraId="4B7D9975" w14:textId="77777777" w:rsidR="00C704F5" w:rsidRPr="00C704F5" w:rsidRDefault="00C704F5" w:rsidP="002D6CB0">
      <w:pPr>
        <w:spacing w:line="480" w:lineRule="auto"/>
        <w:jc w:val="both"/>
        <w:rPr>
          <w:rFonts w:ascii="Arial" w:hAnsi="Arial" w:cs="Arial"/>
          <w:szCs w:val="24"/>
        </w:rPr>
      </w:pPr>
      <w:r w:rsidRPr="00C704F5">
        <w:rPr>
          <w:rFonts w:ascii="Arial" w:hAnsi="Arial" w:cs="Arial"/>
          <w:szCs w:val="24"/>
        </w:rPr>
        <w:lastRenderedPageBreak/>
        <w:t>Fuente: Elaboración propia</w:t>
      </w:r>
    </w:p>
    <w:p w14:paraId="2C74FD0A" w14:textId="76144B68" w:rsidR="00C704F5" w:rsidRPr="000A154B" w:rsidRDefault="00C704F5" w:rsidP="002D6CB0">
      <w:pPr>
        <w:spacing w:line="480" w:lineRule="auto"/>
        <w:ind w:firstLine="708"/>
        <w:jc w:val="both"/>
        <w:rPr>
          <w:rFonts w:ascii="Arial" w:hAnsi="Arial" w:cs="Arial"/>
          <w:sz w:val="24"/>
          <w:szCs w:val="24"/>
        </w:rPr>
      </w:pPr>
      <w:r w:rsidRPr="000A154B">
        <w:rPr>
          <w:rFonts w:ascii="Arial" w:hAnsi="Arial" w:cs="Arial"/>
          <w:sz w:val="24"/>
          <w:szCs w:val="24"/>
        </w:rPr>
        <w:t xml:space="preserve">Se observa en la tabla </w:t>
      </w:r>
      <w:r>
        <w:rPr>
          <w:rFonts w:ascii="Arial" w:hAnsi="Arial" w:cs="Arial"/>
          <w:sz w:val="24"/>
          <w:szCs w:val="24"/>
        </w:rPr>
        <w:t>2</w:t>
      </w:r>
      <w:r w:rsidRPr="000A154B">
        <w:rPr>
          <w:rFonts w:ascii="Arial" w:hAnsi="Arial" w:cs="Arial"/>
          <w:sz w:val="24"/>
          <w:szCs w:val="24"/>
        </w:rPr>
        <w:t xml:space="preserve"> que en el IX CNIE se presentaron solamente dos ponencias, en las cuales los procesos epistemológicos a los que recurrieron los autores fueron constructivismo e interpretación. En este tipo de estudios las conclusiones y el propio análisis de datos, se construyen desde las voces de los sujetos investigados. En el X CNIE, de las 6 ponencias: 4 que fueron clasificadas como cuantitativas, y recuperan la estrategia epistemológica de </w:t>
      </w:r>
      <w:r w:rsidRPr="000A154B">
        <w:rPr>
          <w:rFonts w:ascii="Arial" w:hAnsi="Arial" w:cs="Arial"/>
          <w:i/>
          <w:sz w:val="24"/>
          <w:szCs w:val="24"/>
        </w:rPr>
        <w:t xml:space="preserve">verificar </w:t>
      </w:r>
      <w:r w:rsidRPr="000A154B">
        <w:rPr>
          <w:rFonts w:ascii="Arial" w:hAnsi="Arial" w:cs="Arial"/>
          <w:sz w:val="24"/>
          <w:szCs w:val="24"/>
        </w:rPr>
        <w:t xml:space="preserve">los constructos teóricos, vía cuestionarios o guiones observacionales cerrados. Las 2 ponencias, que no presentaron los elementos necesarios para definir el paradigma, método o diseño de investigación, se </w:t>
      </w:r>
      <w:proofErr w:type="gramStart"/>
      <w:r w:rsidRPr="000A154B">
        <w:rPr>
          <w:rFonts w:ascii="Arial" w:hAnsi="Arial" w:cs="Arial"/>
          <w:sz w:val="24"/>
          <w:szCs w:val="24"/>
        </w:rPr>
        <w:t>dificulta</w:t>
      </w:r>
      <w:proofErr w:type="gramEnd"/>
      <w:r w:rsidRPr="000A154B">
        <w:rPr>
          <w:rFonts w:ascii="Arial" w:hAnsi="Arial" w:cs="Arial"/>
          <w:sz w:val="24"/>
          <w:szCs w:val="24"/>
        </w:rPr>
        <w:t xml:space="preserve"> la revisión en este nivel de concreción del paradigma. En el XI CNIE se presentaron 2 estudios, en los que los investigadores </w:t>
      </w:r>
      <w:r w:rsidRPr="000A154B">
        <w:rPr>
          <w:rFonts w:ascii="Arial" w:hAnsi="Arial" w:cs="Arial"/>
          <w:i/>
          <w:sz w:val="24"/>
          <w:szCs w:val="24"/>
        </w:rPr>
        <w:t xml:space="preserve">construyeron e interpretaron </w:t>
      </w:r>
      <w:r w:rsidRPr="000A154B">
        <w:rPr>
          <w:rFonts w:ascii="Arial" w:hAnsi="Arial" w:cs="Arial"/>
          <w:sz w:val="24"/>
          <w:szCs w:val="24"/>
        </w:rPr>
        <w:t xml:space="preserve">para reconstruir su objeto de estudio. En los 3 </w:t>
      </w:r>
      <w:proofErr w:type="spellStart"/>
      <w:r w:rsidRPr="000A154B">
        <w:rPr>
          <w:rFonts w:ascii="Arial" w:hAnsi="Arial" w:cs="Arial"/>
          <w:sz w:val="24"/>
          <w:szCs w:val="24"/>
        </w:rPr>
        <w:t>CNIE´s</w:t>
      </w:r>
      <w:proofErr w:type="spellEnd"/>
      <w:r w:rsidRPr="000A154B">
        <w:rPr>
          <w:rFonts w:ascii="Arial" w:hAnsi="Arial" w:cs="Arial"/>
          <w:sz w:val="24"/>
          <w:szCs w:val="24"/>
        </w:rPr>
        <w:t xml:space="preserve"> revisados se presentaron: 4 estudios en los cuales la estrategia epistemológica es </w:t>
      </w:r>
      <w:r w:rsidRPr="000A154B">
        <w:rPr>
          <w:rFonts w:ascii="Arial" w:hAnsi="Arial" w:cs="Arial"/>
          <w:i/>
          <w:sz w:val="24"/>
          <w:szCs w:val="24"/>
        </w:rPr>
        <w:t xml:space="preserve">verificar, </w:t>
      </w:r>
      <w:r w:rsidRPr="000A154B">
        <w:rPr>
          <w:rFonts w:ascii="Arial" w:hAnsi="Arial" w:cs="Arial"/>
          <w:sz w:val="24"/>
          <w:szCs w:val="24"/>
        </w:rPr>
        <w:t xml:space="preserve">mientras que en 5 estudios la </w:t>
      </w:r>
      <w:r w:rsidRPr="000A154B">
        <w:rPr>
          <w:rFonts w:ascii="Arial" w:hAnsi="Arial" w:cs="Arial"/>
          <w:i/>
          <w:sz w:val="24"/>
          <w:szCs w:val="24"/>
        </w:rPr>
        <w:t xml:space="preserve">construcción </w:t>
      </w:r>
      <w:r w:rsidRPr="000A154B">
        <w:rPr>
          <w:rFonts w:ascii="Arial" w:hAnsi="Arial" w:cs="Arial"/>
          <w:sz w:val="24"/>
          <w:szCs w:val="24"/>
        </w:rPr>
        <w:t xml:space="preserve">e </w:t>
      </w:r>
      <w:r w:rsidRPr="000A154B">
        <w:rPr>
          <w:rFonts w:ascii="Arial" w:hAnsi="Arial" w:cs="Arial"/>
          <w:i/>
          <w:sz w:val="24"/>
          <w:szCs w:val="24"/>
        </w:rPr>
        <w:t xml:space="preserve">interpretación </w:t>
      </w:r>
      <w:r w:rsidRPr="000A154B">
        <w:rPr>
          <w:rFonts w:ascii="Arial" w:hAnsi="Arial" w:cs="Arial"/>
          <w:sz w:val="24"/>
          <w:szCs w:val="24"/>
        </w:rPr>
        <w:t>son las estrategias epistemológicas utilizadas. 2 estudios no pudieron ser clasificados.</w:t>
      </w:r>
    </w:p>
    <w:p w14:paraId="65C0747E" w14:textId="23BFC568" w:rsidR="00C704F5" w:rsidRDefault="00C704F5" w:rsidP="002D6CB0">
      <w:pPr>
        <w:spacing w:line="480" w:lineRule="auto"/>
        <w:jc w:val="both"/>
        <w:rPr>
          <w:rFonts w:ascii="Arial" w:hAnsi="Arial" w:cs="Arial"/>
          <w:b/>
          <w:sz w:val="24"/>
          <w:szCs w:val="24"/>
        </w:rPr>
      </w:pPr>
      <w:r w:rsidRPr="000A154B">
        <w:rPr>
          <w:rFonts w:ascii="Arial" w:hAnsi="Arial" w:cs="Arial"/>
          <w:b/>
          <w:sz w:val="24"/>
          <w:szCs w:val="24"/>
        </w:rPr>
        <w:t xml:space="preserve">Dimensión </w:t>
      </w:r>
      <w:r>
        <w:rPr>
          <w:rFonts w:ascii="Arial" w:hAnsi="Arial" w:cs="Arial"/>
          <w:b/>
          <w:sz w:val="24"/>
          <w:szCs w:val="24"/>
        </w:rPr>
        <w:t>3</w:t>
      </w:r>
      <w:r w:rsidRPr="000A154B">
        <w:rPr>
          <w:rFonts w:ascii="Arial" w:hAnsi="Arial" w:cs="Arial"/>
          <w:b/>
          <w:sz w:val="24"/>
          <w:szCs w:val="24"/>
        </w:rPr>
        <w:t xml:space="preserve">. </w:t>
      </w:r>
      <w:r>
        <w:rPr>
          <w:rFonts w:ascii="Arial" w:hAnsi="Arial" w:cs="Arial"/>
          <w:b/>
          <w:sz w:val="24"/>
          <w:szCs w:val="24"/>
        </w:rPr>
        <w:t xml:space="preserve">Nivel de concreción </w:t>
      </w:r>
      <w:r>
        <w:rPr>
          <w:rFonts w:ascii="Arial" w:hAnsi="Arial" w:cs="Arial"/>
          <w:b/>
          <w:sz w:val="24"/>
          <w:szCs w:val="24"/>
        </w:rPr>
        <w:t>metodoló</w:t>
      </w:r>
      <w:r>
        <w:rPr>
          <w:rFonts w:ascii="Arial" w:hAnsi="Arial" w:cs="Arial"/>
          <w:b/>
          <w:sz w:val="24"/>
          <w:szCs w:val="24"/>
        </w:rPr>
        <w:t>gica</w:t>
      </w:r>
    </w:p>
    <w:p w14:paraId="68F14A17" w14:textId="5A2E6BA3" w:rsidR="003065E2" w:rsidRDefault="00C704F5" w:rsidP="00350B46">
      <w:pPr>
        <w:spacing w:line="480" w:lineRule="auto"/>
        <w:ind w:firstLine="708"/>
        <w:jc w:val="both"/>
        <w:rPr>
          <w:rFonts w:ascii="Arial" w:hAnsi="Arial" w:cs="Arial"/>
          <w:sz w:val="24"/>
          <w:szCs w:val="24"/>
        </w:rPr>
      </w:pPr>
      <w:r>
        <w:rPr>
          <w:rFonts w:ascii="Arial" w:hAnsi="Arial" w:cs="Arial"/>
          <w:sz w:val="24"/>
          <w:szCs w:val="24"/>
        </w:rPr>
        <w:t>En la tabla 3</w:t>
      </w:r>
      <w:r w:rsidR="003065E2" w:rsidRPr="000A154B">
        <w:rPr>
          <w:rFonts w:ascii="Arial" w:hAnsi="Arial" w:cs="Arial"/>
          <w:sz w:val="24"/>
          <w:szCs w:val="24"/>
        </w:rPr>
        <w:t xml:space="preserve"> se presentan las ponencias sobre género clasificadas por CNIE y metodología de investigación utilizada en los estudios. </w:t>
      </w:r>
    </w:p>
    <w:p w14:paraId="32CEB4A7" w14:textId="77777777" w:rsidR="00C704F5" w:rsidRDefault="00C704F5" w:rsidP="002D6CB0">
      <w:pPr>
        <w:spacing w:line="480" w:lineRule="auto"/>
        <w:jc w:val="both"/>
        <w:rPr>
          <w:rFonts w:ascii="Arial" w:hAnsi="Arial" w:cs="Arial"/>
          <w:sz w:val="24"/>
          <w:szCs w:val="24"/>
        </w:rPr>
      </w:pPr>
    </w:p>
    <w:p w14:paraId="3EF54050" w14:textId="77777777" w:rsidR="00C704F5" w:rsidRDefault="00C704F5" w:rsidP="002D6CB0">
      <w:pPr>
        <w:spacing w:line="480" w:lineRule="auto"/>
        <w:jc w:val="both"/>
        <w:rPr>
          <w:rFonts w:ascii="Arial" w:hAnsi="Arial" w:cs="Arial"/>
          <w:sz w:val="24"/>
          <w:szCs w:val="24"/>
        </w:rPr>
      </w:pPr>
    </w:p>
    <w:p w14:paraId="61B10824" w14:textId="77777777" w:rsidR="00C704F5" w:rsidRDefault="00C704F5" w:rsidP="002D6CB0">
      <w:pPr>
        <w:spacing w:line="480" w:lineRule="auto"/>
        <w:jc w:val="both"/>
        <w:rPr>
          <w:rFonts w:ascii="Arial" w:hAnsi="Arial" w:cs="Arial"/>
          <w:sz w:val="24"/>
          <w:szCs w:val="24"/>
        </w:rPr>
      </w:pPr>
    </w:p>
    <w:p w14:paraId="5F922711" w14:textId="77777777" w:rsidR="00C704F5" w:rsidRPr="000A154B" w:rsidRDefault="00C704F5" w:rsidP="002D6CB0">
      <w:pPr>
        <w:spacing w:line="480" w:lineRule="auto"/>
        <w:jc w:val="both"/>
        <w:rPr>
          <w:rFonts w:ascii="Arial" w:hAnsi="Arial" w:cs="Arial"/>
          <w:sz w:val="24"/>
          <w:szCs w:val="24"/>
        </w:rPr>
      </w:pPr>
    </w:p>
    <w:p w14:paraId="0BB43265" w14:textId="6CA829CF" w:rsidR="003065E2" w:rsidRPr="000A154B" w:rsidRDefault="00C704F5" w:rsidP="002D6CB0">
      <w:pPr>
        <w:spacing w:line="480" w:lineRule="auto"/>
        <w:jc w:val="both"/>
        <w:rPr>
          <w:rFonts w:ascii="Arial" w:hAnsi="Arial" w:cs="Arial"/>
          <w:sz w:val="24"/>
          <w:szCs w:val="24"/>
        </w:rPr>
      </w:pPr>
      <w:r>
        <w:rPr>
          <w:rFonts w:ascii="Arial" w:hAnsi="Arial" w:cs="Arial"/>
          <w:sz w:val="24"/>
          <w:szCs w:val="24"/>
        </w:rPr>
        <w:lastRenderedPageBreak/>
        <w:t>Tabla 3</w:t>
      </w:r>
      <w:r w:rsidR="003065E2" w:rsidRPr="000A154B">
        <w:rPr>
          <w:rFonts w:ascii="Arial" w:hAnsi="Arial" w:cs="Arial"/>
          <w:sz w:val="24"/>
          <w:szCs w:val="24"/>
        </w:rPr>
        <w:t>. Clasificación de ponencias por CNIE y metodología utilizada.</w:t>
      </w:r>
    </w:p>
    <w:tbl>
      <w:tblPr>
        <w:tblStyle w:val="Tablaconcuadrcu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7"/>
        <w:gridCol w:w="2550"/>
        <w:gridCol w:w="2023"/>
        <w:gridCol w:w="2631"/>
      </w:tblGrid>
      <w:tr w:rsidR="00C704F5" w:rsidRPr="00C704F5" w14:paraId="79302E3C" w14:textId="77777777" w:rsidTr="00C704F5">
        <w:tc>
          <w:tcPr>
            <w:tcW w:w="2122" w:type="dxa"/>
            <w:tcBorders>
              <w:top w:val="single" w:sz="4" w:space="0" w:color="auto"/>
              <w:bottom w:val="single" w:sz="4" w:space="0" w:color="auto"/>
            </w:tcBorders>
            <w:hideMark/>
          </w:tcPr>
          <w:p w14:paraId="04F8368D"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Metodología/CNIE</w:t>
            </w:r>
          </w:p>
        </w:tc>
        <w:tc>
          <w:tcPr>
            <w:tcW w:w="2574" w:type="dxa"/>
            <w:tcBorders>
              <w:top w:val="single" w:sz="4" w:space="0" w:color="auto"/>
              <w:bottom w:val="single" w:sz="4" w:space="0" w:color="auto"/>
            </w:tcBorders>
            <w:hideMark/>
          </w:tcPr>
          <w:p w14:paraId="41516BBB"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IX</w:t>
            </w:r>
          </w:p>
        </w:tc>
        <w:tc>
          <w:tcPr>
            <w:tcW w:w="2349" w:type="dxa"/>
            <w:tcBorders>
              <w:top w:val="single" w:sz="4" w:space="0" w:color="auto"/>
              <w:bottom w:val="single" w:sz="4" w:space="0" w:color="auto"/>
            </w:tcBorders>
            <w:hideMark/>
          </w:tcPr>
          <w:p w14:paraId="6B9EBAB9"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X</w:t>
            </w:r>
          </w:p>
        </w:tc>
        <w:tc>
          <w:tcPr>
            <w:tcW w:w="2349" w:type="dxa"/>
            <w:tcBorders>
              <w:top w:val="single" w:sz="4" w:space="0" w:color="auto"/>
              <w:bottom w:val="single" w:sz="4" w:space="0" w:color="auto"/>
            </w:tcBorders>
            <w:hideMark/>
          </w:tcPr>
          <w:p w14:paraId="436E4A96"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XI</w:t>
            </w:r>
          </w:p>
        </w:tc>
      </w:tr>
      <w:tr w:rsidR="00C704F5" w:rsidRPr="00C704F5" w14:paraId="30BD15E6" w14:textId="77777777" w:rsidTr="00C704F5">
        <w:tc>
          <w:tcPr>
            <w:tcW w:w="2122" w:type="dxa"/>
            <w:tcBorders>
              <w:top w:val="single" w:sz="4" w:space="0" w:color="auto"/>
            </w:tcBorders>
            <w:hideMark/>
          </w:tcPr>
          <w:p w14:paraId="486ABA85"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Cuantitativa</w:t>
            </w:r>
          </w:p>
        </w:tc>
        <w:tc>
          <w:tcPr>
            <w:tcW w:w="2574" w:type="dxa"/>
            <w:tcBorders>
              <w:top w:val="single" w:sz="4" w:space="0" w:color="auto"/>
              <w:bottom w:val="single" w:sz="4" w:space="0" w:color="auto"/>
            </w:tcBorders>
          </w:tcPr>
          <w:p w14:paraId="41824A92" w14:textId="77777777" w:rsidR="00C704F5" w:rsidRPr="00C704F5" w:rsidRDefault="00C704F5" w:rsidP="002D6CB0">
            <w:pPr>
              <w:jc w:val="both"/>
              <w:rPr>
                <w:rFonts w:ascii="Arial" w:hAnsi="Arial" w:cs="Arial"/>
                <w:sz w:val="20"/>
                <w:szCs w:val="24"/>
              </w:rPr>
            </w:pPr>
          </w:p>
        </w:tc>
        <w:tc>
          <w:tcPr>
            <w:tcW w:w="2349" w:type="dxa"/>
            <w:tcBorders>
              <w:top w:val="single" w:sz="4" w:space="0" w:color="auto"/>
              <w:bottom w:val="single" w:sz="4" w:space="0" w:color="auto"/>
            </w:tcBorders>
            <w:hideMark/>
          </w:tcPr>
          <w:p w14:paraId="3E739D1A" w14:textId="77777777" w:rsidR="00C704F5" w:rsidRPr="00C704F5" w:rsidRDefault="00C704F5" w:rsidP="002D6CB0">
            <w:pPr>
              <w:pStyle w:val="Prrafodelista"/>
              <w:numPr>
                <w:ilvl w:val="0"/>
                <w:numId w:val="5"/>
              </w:numPr>
              <w:spacing w:line="240" w:lineRule="auto"/>
              <w:ind w:left="545" w:hanging="300"/>
              <w:rPr>
                <w:rFonts w:ascii="Arial" w:hAnsi="Arial" w:cs="Arial"/>
                <w:sz w:val="20"/>
              </w:rPr>
            </w:pPr>
            <w:r w:rsidRPr="00C704F5">
              <w:rPr>
                <w:rFonts w:ascii="Arial" w:hAnsi="Arial" w:cs="Arial"/>
                <w:sz w:val="20"/>
              </w:rPr>
              <w:t>Estadística descriptiva e investigación bibliográfica.</w:t>
            </w:r>
          </w:p>
          <w:p w14:paraId="745ED505" w14:textId="77777777" w:rsidR="00C704F5" w:rsidRPr="00C704F5" w:rsidRDefault="00C704F5" w:rsidP="002D6CB0">
            <w:pPr>
              <w:pStyle w:val="Prrafodelista"/>
              <w:numPr>
                <w:ilvl w:val="0"/>
                <w:numId w:val="5"/>
              </w:numPr>
              <w:spacing w:line="240" w:lineRule="auto"/>
              <w:ind w:left="545" w:hanging="300"/>
              <w:rPr>
                <w:rFonts w:ascii="Arial" w:hAnsi="Arial" w:cs="Arial"/>
                <w:sz w:val="20"/>
              </w:rPr>
            </w:pPr>
            <w:r w:rsidRPr="00C704F5">
              <w:rPr>
                <w:rFonts w:ascii="Arial" w:hAnsi="Arial" w:cs="Arial"/>
                <w:sz w:val="20"/>
              </w:rPr>
              <w:t>Cuestionario escala.</w:t>
            </w:r>
          </w:p>
          <w:p w14:paraId="751F1434" w14:textId="77777777" w:rsidR="00C704F5" w:rsidRPr="00C704F5" w:rsidRDefault="00C704F5" w:rsidP="002D6CB0">
            <w:pPr>
              <w:pStyle w:val="Prrafodelista"/>
              <w:numPr>
                <w:ilvl w:val="0"/>
                <w:numId w:val="5"/>
              </w:numPr>
              <w:spacing w:line="240" w:lineRule="auto"/>
              <w:ind w:left="545" w:hanging="300"/>
              <w:rPr>
                <w:rFonts w:ascii="Arial" w:hAnsi="Arial" w:cs="Arial"/>
                <w:sz w:val="20"/>
              </w:rPr>
            </w:pPr>
            <w:r w:rsidRPr="00C704F5">
              <w:rPr>
                <w:rFonts w:ascii="Arial" w:hAnsi="Arial" w:cs="Arial"/>
                <w:sz w:val="20"/>
              </w:rPr>
              <w:t>Diseño cuasi-experimental</w:t>
            </w:r>
          </w:p>
          <w:p w14:paraId="4457049A" w14:textId="77777777" w:rsidR="00C704F5" w:rsidRPr="00C704F5" w:rsidRDefault="00C704F5" w:rsidP="002D6CB0">
            <w:pPr>
              <w:pStyle w:val="Prrafodelista"/>
              <w:numPr>
                <w:ilvl w:val="0"/>
                <w:numId w:val="5"/>
              </w:numPr>
              <w:spacing w:line="240" w:lineRule="auto"/>
              <w:ind w:left="545" w:hanging="300"/>
              <w:rPr>
                <w:rFonts w:ascii="Arial" w:hAnsi="Arial" w:cs="Arial"/>
                <w:sz w:val="20"/>
              </w:rPr>
            </w:pPr>
            <w:r w:rsidRPr="00C704F5">
              <w:rPr>
                <w:rFonts w:ascii="Arial" w:hAnsi="Arial" w:cs="Arial"/>
                <w:sz w:val="20"/>
              </w:rPr>
              <w:t>Diseño transversal y descriptivo.</w:t>
            </w:r>
          </w:p>
        </w:tc>
        <w:tc>
          <w:tcPr>
            <w:tcW w:w="2349" w:type="dxa"/>
            <w:tcBorders>
              <w:top w:val="single" w:sz="4" w:space="0" w:color="auto"/>
              <w:bottom w:val="single" w:sz="4" w:space="0" w:color="auto"/>
            </w:tcBorders>
          </w:tcPr>
          <w:p w14:paraId="59586F92" w14:textId="77777777" w:rsidR="00C704F5" w:rsidRPr="00C704F5" w:rsidRDefault="00C704F5" w:rsidP="002D6CB0">
            <w:pPr>
              <w:jc w:val="both"/>
              <w:rPr>
                <w:rFonts w:ascii="Arial" w:hAnsi="Arial" w:cs="Arial"/>
                <w:sz w:val="20"/>
                <w:szCs w:val="24"/>
              </w:rPr>
            </w:pPr>
          </w:p>
        </w:tc>
      </w:tr>
      <w:tr w:rsidR="00C704F5" w:rsidRPr="00C704F5" w14:paraId="59B3635F" w14:textId="77777777" w:rsidTr="00C704F5">
        <w:tc>
          <w:tcPr>
            <w:tcW w:w="2122" w:type="dxa"/>
            <w:hideMark/>
          </w:tcPr>
          <w:p w14:paraId="60FDD492"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Cualitativa</w:t>
            </w:r>
          </w:p>
        </w:tc>
        <w:tc>
          <w:tcPr>
            <w:tcW w:w="2574" w:type="dxa"/>
            <w:tcBorders>
              <w:top w:val="single" w:sz="4" w:space="0" w:color="auto"/>
              <w:bottom w:val="single" w:sz="4" w:space="0" w:color="auto"/>
            </w:tcBorders>
            <w:hideMark/>
          </w:tcPr>
          <w:p w14:paraId="04D0D1D7" w14:textId="77777777" w:rsidR="00C704F5" w:rsidRPr="00C704F5" w:rsidRDefault="00C704F5" w:rsidP="002D6CB0">
            <w:pPr>
              <w:pStyle w:val="Prrafodelista"/>
              <w:numPr>
                <w:ilvl w:val="0"/>
                <w:numId w:val="6"/>
              </w:numPr>
              <w:spacing w:line="240" w:lineRule="auto"/>
              <w:rPr>
                <w:rFonts w:ascii="Arial" w:hAnsi="Arial" w:cs="Arial"/>
                <w:sz w:val="20"/>
              </w:rPr>
            </w:pPr>
            <w:r w:rsidRPr="00C704F5">
              <w:rPr>
                <w:rFonts w:ascii="Arial" w:hAnsi="Arial" w:cs="Arial"/>
                <w:sz w:val="20"/>
              </w:rPr>
              <w:t>Hermenéutica y etnografía.</w:t>
            </w:r>
          </w:p>
          <w:p w14:paraId="5A0ECEB0" w14:textId="77777777" w:rsidR="00C704F5" w:rsidRPr="00C704F5" w:rsidRDefault="00C704F5" w:rsidP="002D6CB0">
            <w:pPr>
              <w:pStyle w:val="Prrafodelista"/>
              <w:numPr>
                <w:ilvl w:val="0"/>
                <w:numId w:val="6"/>
              </w:numPr>
              <w:spacing w:line="240" w:lineRule="auto"/>
              <w:rPr>
                <w:rFonts w:ascii="Arial" w:hAnsi="Arial" w:cs="Arial"/>
                <w:sz w:val="20"/>
              </w:rPr>
            </w:pPr>
            <w:r w:rsidRPr="00C704F5">
              <w:rPr>
                <w:rFonts w:ascii="Arial" w:hAnsi="Arial" w:cs="Arial"/>
                <w:sz w:val="20"/>
              </w:rPr>
              <w:t>Etnografía e investigación documental.</w:t>
            </w:r>
          </w:p>
        </w:tc>
        <w:tc>
          <w:tcPr>
            <w:tcW w:w="2349" w:type="dxa"/>
            <w:tcBorders>
              <w:top w:val="single" w:sz="4" w:space="0" w:color="auto"/>
              <w:bottom w:val="single" w:sz="4" w:space="0" w:color="auto"/>
            </w:tcBorders>
          </w:tcPr>
          <w:p w14:paraId="051C2EE0" w14:textId="77777777" w:rsidR="00C704F5" w:rsidRPr="00C704F5" w:rsidRDefault="00C704F5" w:rsidP="002D6CB0">
            <w:pPr>
              <w:jc w:val="both"/>
              <w:rPr>
                <w:rFonts w:ascii="Arial" w:hAnsi="Arial" w:cs="Arial"/>
                <w:sz w:val="20"/>
                <w:szCs w:val="24"/>
              </w:rPr>
            </w:pPr>
          </w:p>
        </w:tc>
        <w:tc>
          <w:tcPr>
            <w:tcW w:w="2349" w:type="dxa"/>
            <w:tcBorders>
              <w:top w:val="single" w:sz="4" w:space="0" w:color="auto"/>
              <w:bottom w:val="single" w:sz="4" w:space="0" w:color="auto"/>
            </w:tcBorders>
            <w:hideMark/>
          </w:tcPr>
          <w:p w14:paraId="253F014C" w14:textId="77777777" w:rsidR="00C704F5" w:rsidRPr="00C704F5" w:rsidRDefault="00C704F5" w:rsidP="002D6CB0">
            <w:pPr>
              <w:pStyle w:val="Prrafodelista"/>
              <w:numPr>
                <w:ilvl w:val="0"/>
                <w:numId w:val="7"/>
              </w:numPr>
              <w:spacing w:line="240" w:lineRule="auto"/>
              <w:rPr>
                <w:rFonts w:ascii="Arial" w:hAnsi="Arial" w:cs="Arial"/>
                <w:sz w:val="20"/>
              </w:rPr>
            </w:pPr>
            <w:r w:rsidRPr="00C704F5">
              <w:rPr>
                <w:rFonts w:ascii="Arial" w:hAnsi="Arial" w:cs="Arial"/>
                <w:sz w:val="20"/>
              </w:rPr>
              <w:t>Etnografía y Teoría fundamentada.</w:t>
            </w:r>
          </w:p>
          <w:p w14:paraId="7D2183BE" w14:textId="77777777" w:rsidR="00C704F5" w:rsidRPr="00C704F5" w:rsidRDefault="00C704F5" w:rsidP="002D6CB0">
            <w:pPr>
              <w:pStyle w:val="Prrafodelista"/>
              <w:numPr>
                <w:ilvl w:val="0"/>
                <w:numId w:val="7"/>
              </w:numPr>
              <w:spacing w:line="240" w:lineRule="auto"/>
              <w:rPr>
                <w:rFonts w:ascii="Arial" w:hAnsi="Arial" w:cs="Arial"/>
                <w:sz w:val="20"/>
              </w:rPr>
            </w:pPr>
            <w:r w:rsidRPr="00C704F5">
              <w:rPr>
                <w:rFonts w:ascii="Arial" w:hAnsi="Arial" w:cs="Arial"/>
                <w:sz w:val="20"/>
              </w:rPr>
              <w:t>Etnografía.</w:t>
            </w:r>
          </w:p>
          <w:p w14:paraId="09C806A3" w14:textId="77777777" w:rsidR="00C704F5" w:rsidRPr="00C704F5" w:rsidRDefault="00C704F5" w:rsidP="002D6CB0">
            <w:pPr>
              <w:pStyle w:val="Prrafodelista"/>
              <w:numPr>
                <w:ilvl w:val="0"/>
                <w:numId w:val="7"/>
              </w:numPr>
              <w:spacing w:line="240" w:lineRule="auto"/>
              <w:rPr>
                <w:rFonts w:ascii="Arial" w:hAnsi="Arial" w:cs="Arial"/>
                <w:sz w:val="20"/>
              </w:rPr>
            </w:pPr>
            <w:r w:rsidRPr="00C704F5">
              <w:rPr>
                <w:rFonts w:ascii="Arial" w:hAnsi="Arial" w:cs="Arial"/>
                <w:sz w:val="20"/>
              </w:rPr>
              <w:t>Etnografía.</w:t>
            </w:r>
          </w:p>
        </w:tc>
      </w:tr>
      <w:tr w:rsidR="00C704F5" w:rsidRPr="00C704F5" w14:paraId="3E99B250" w14:textId="77777777" w:rsidTr="00C704F5">
        <w:tc>
          <w:tcPr>
            <w:tcW w:w="2122" w:type="dxa"/>
            <w:tcBorders>
              <w:bottom w:val="single" w:sz="4" w:space="0" w:color="auto"/>
            </w:tcBorders>
            <w:hideMark/>
          </w:tcPr>
          <w:p w14:paraId="51F80A47" w14:textId="77777777" w:rsidR="00C704F5" w:rsidRPr="00C704F5" w:rsidRDefault="00C704F5" w:rsidP="002D6CB0">
            <w:pPr>
              <w:jc w:val="both"/>
              <w:rPr>
                <w:rFonts w:ascii="Arial" w:hAnsi="Arial" w:cs="Arial"/>
                <w:sz w:val="20"/>
                <w:szCs w:val="24"/>
              </w:rPr>
            </w:pPr>
            <w:r w:rsidRPr="00C704F5">
              <w:rPr>
                <w:rFonts w:ascii="Arial" w:hAnsi="Arial" w:cs="Arial"/>
                <w:sz w:val="20"/>
                <w:szCs w:val="24"/>
              </w:rPr>
              <w:t>No describe la metodología</w:t>
            </w:r>
          </w:p>
        </w:tc>
        <w:tc>
          <w:tcPr>
            <w:tcW w:w="2574" w:type="dxa"/>
            <w:tcBorders>
              <w:top w:val="single" w:sz="4" w:space="0" w:color="auto"/>
              <w:bottom w:val="single" w:sz="4" w:space="0" w:color="auto"/>
            </w:tcBorders>
          </w:tcPr>
          <w:p w14:paraId="33AF2CAC" w14:textId="77777777" w:rsidR="00C704F5" w:rsidRPr="00C704F5" w:rsidRDefault="00C704F5" w:rsidP="002D6CB0">
            <w:pPr>
              <w:pStyle w:val="Prrafodelista"/>
              <w:spacing w:line="240" w:lineRule="auto"/>
              <w:rPr>
                <w:rFonts w:ascii="Arial" w:hAnsi="Arial" w:cs="Arial"/>
                <w:sz w:val="20"/>
              </w:rPr>
            </w:pPr>
          </w:p>
        </w:tc>
        <w:tc>
          <w:tcPr>
            <w:tcW w:w="2349" w:type="dxa"/>
            <w:tcBorders>
              <w:top w:val="single" w:sz="4" w:space="0" w:color="auto"/>
              <w:bottom w:val="single" w:sz="4" w:space="0" w:color="auto"/>
            </w:tcBorders>
            <w:hideMark/>
          </w:tcPr>
          <w:p w14:paraId="62518505" w14:textId="77777777" w:rsidR="00C704F5" w:rsidRPr="00C704F5" w:rsidRDefault="00C704F5" w:rsidP="002D6CB0">
            <w:pPr>
              <w:pStyle w:val="Prrafodelista"/>
              <w:numPr>
                <w:ilvl w:val="0"/>
                <w:numId w:val="8"/>
              </w:numPr>
              <w:spacing w:line="240" w:lineRule="auto"/>
              <w:ind w:left="414"/>
              <w:rPr>
                <w:rFonts w:ascii="Arial" w:hAnsi="Arial" w:cs="Arial"/>
                <w:sz w:val="20"/>
              </w:rPr>
            </w:pPr>
            <w:r w:rsidRPr="00C704F5">
              <w:rPr>
                <w:rFonts w:ascii="Arial" w:hAnsi="Arial" w:cs="Arial"/>
                <w:sz w:val="20"/>
              </w:rPr>
              <w:t>No describe la metodología.</w:t>
            </w:r>
          </w:p>
          <w:p w14:paraId="6C68F60B" w14:textId="77777777" w:rsidR="00C704F5" w:rsidRPr="00C704F5" w:rsidRDefault="00C704F5" w:rsidP="002D6CB0">
            <w:pPr>
              <w:pStyle w:val="Prrafodelista"/>
              <w:numPr>
                <w:ilvl w:val="0"/>
                <w:numId w:val="8"/>
              </w:numPr>
              <w:spacing w:line="240" w:lineRule="auto"/>
              <w:ind w:left="414"/>
              <w:rPr>
                <w:rFonts w:ascii="Arial" w:hAnsi="Arial" w:cs="Arial"/>
                <w:sz w:val="20"/>
              </w:rPr>
            </w:pPr>
            <w:r w:rsidRPr="00C704F5">
              <w:rPr>
                <w:rFonts w:ascii="Arial" w:hAnsi="Arial" w:cs="Arial"/>
                <w:sz w:val="20"/>
              </w:rPr>
              <w:t>No describe la metodología.</w:t>
            </w:r>
          </w:p>
        </w:tc>
        <w:tc>
          <w:tcPr>
            <w:tcW w:w="2349" w:type="dxa"/>
            <w:tcBorders>
              <w:top w:val="single" w:sz="4" w:space="0" w:color="auto"/>
              <w:bottom w:val="single" w:sz="4" w:space="0" w:color="auto"/>
            </w:tcBorders>
          </w:tcPr>
          <w:p w14:paraId="11B3ED0C" w14:textId="77777777" w:rsidR="00C704F5" w:rsidRPr="00C704F5" w:rsidRDefault="00C704F5" w:rsidP="002D6CB0">
            <w:pPr>
              <w:jc w:val="both"/>
              <w:rPr>
                <w:rFonts w:ascii="Arial" w:hAnsi="Arial" w:cs="Arial"/>
                <w:sz w:val="20"/>
                <w:szCs w:val="24"/>
              </w:rPr>
            </w:pPr>
          </w:p>
        </w:tc>
      </w:tr>
    </w:tbl>
    <w:p w14:paraId="78B0BDEE" w14:textId="77777777" w:rsidR="003065E2" w:rsidRPr="00C704F5" w:rsidRDefault="003065E2" w:rsidP="002D6CB0">
      <w:pPr>
        <w:spacing w:line="480" w:lineRule="auto"/>
        <w:jc w:val="both"/>
        <w:rPr>
          <w:rFonts w:ascii="Arial" w:hAnsi="Arial" w:cs="Arial"/>
          <w:szCs w:val="24"/>
        </w:rPr>
      </w:pPr>
      <w:r w:rsidRPr="00C704F5">
        <w:rPr>
          <w:rFonts w:ascii="Arial" w:hAnsi="Arial" w:cs="Arial"/>
          <w:szCs w:val="24"/>
        </w:rPr>
        <w:t>Fuente: Elaboración propia</w:t>
      </w:r>
    </w:p>
    <w:p w14:paraId="2F73402F" w14:textId="1DA05198" w:rsidR="003065E2" w:rsidRPr="000A154B" w:rsidRDefault="003065E2" w:rsidP="002D6CB0">
      <w:pPr>
        <w:spacing w:line="480" w:lineRule="auto"/>
        <w:ind w:firstLine="708"/>
        <w:jc w:val="both"/>
        <w:rPr>
          <w:rFonts w:ascii="Arial" w:hAnsi="Arial" w:cs="Arial"/>
          <w:sz w:val="24"/>
          <w:szCs w:val="24"/>
        </w:rPr>
      </w:pPr>
      <w:r w:rsidRPr="000A154B">
        <w:rPr>
          <w:rFonts w:ascii="Arial" w:hAnsi="Arial" w:cs="Arial"/>
          <w:sz w:val="24"/>
          <w:szCs w:val="24"/>
        </w:rPr>
        <w:t>S</w:t>
      </w:r>
      <w:r w:rsidR="00C704F5">
        <w:rPr>
          <w:rFonts w:ascii="Arial" w:hAnsi="Arial" w:cs="Arial"/>
          <w:sz w:val="24"/>
          <w:szCs w:val="24"/>
        </w:rPr>
        <w:t>e observa en la tabla 3</w:t>
      </w:r>
      <w:r w:rsidRPr="000A154B">
        <w:rPr>
          <w:rFonts w:ascii="Arial" w:hAnsi="Arial" w:cs="Arial"/>
          <w:sz w:val="24"/>
          <w:szCs w:val="24"/>
        </w:rPr>
        <w:t xml:space="preserve"> que en el IX CNIE se presentaron solamente dos ponencias, clasificadas como cualitativas. En el X CNIE se presentaron 6 ponencias: 4 inscritas en un paradigma cuantitativo, mientras que 2 ponencias, no presentaron los elementos necesarios para definir el paradigma, método o diseño de investigación. En el XI CNIE se presentaron 2 estudios de corte cualitativo. En los 3 </w:t>
      </w:r>
      <w:proofErr w:type="spellStart"/>
      <w:r w:rsidRPr="000A154B">
        <w:rPr>
          <w:rFonts w:ascii="Arial" w:hAnsi="Arial" w:cs="Arial"/>
          <w:sz w:val="24"/>
          <w:szCs w:val="24"/>
        </w:rPr>
        <w:t>CNIE´s</w:t>
      </w:r>
      <w:proofErr w:type="spellEnd"/>
      <w:r w:rsidRPr="000A154B">
        <w:rPr>
          <w:rFonts w:ascii="Arial" w:hAnsi="Arial" w:cs="Arial"/>
          <w:sz w:val="24"/>
          <w:szCs w:val="24"/>
        </w:rPr>
        <w:t xml:space="preserve"> revisados se presentaron: 4 estudios cuantitativos y 5 estudios cualitativos. 2 estudios no pudieron ser clasificados.</w:t>
      </w:r>
    </w:p>
    <w:p w14:paraId="63347A71" w14:textId="77777777" w:rsidR="003065E2" w:rsidRPr="000A154B" w:rsidRDefault="003065E2" w:rsidP="002D6CB0">
      <w:pPr>
        <w:pStyle w:val="Ttulo2"/>
        <w:spacing w:line="480" w:lineRule="auto"/>
        <w:rPr>
          <w:rFonts w:ascii="Arial" w:hAnsi="Arial" w:cs="Arial"/>
          <w:sz w:val="24"/>
          <w:szCs w:val="24"/>
        </w:rPr>
      </w:pPr>
      <w:r w:rsidRPr="000A154B">
        <w:rPr>
          <w:rFonts w:ascii="Arial" w:hAnsi="Arial" w:cs="Arial"/>
          <w:sz w:val="24"/>
          <w:szCs w:val="24"/>
        </w:rPr>
        <w:t>Conclusiones</w:t>
      </w:r>
    </w:p>
    <w:p w14:paraId="6F4A2407" w14:textId="77777777" w:rsidR="003065E2" w:rsidRPr="000A154B" w:rsidRDefault="003065E2" w:rsidP="00350B46">
      <w:pPr>
        <w:spacing w:line="480" w:lineRule="auto"/>
        <w:ind w:firstLine="360"/>
        <w:jc w:val="both"/>
        <w:rPr>
          <w:rFonts w:ascii="Arial" w:hAnsi="Arial" w:cs="Arial"/>
          <w:sz w:val="24"/>
          <w:szCs w:val="24"/>
        </w:rPr>
      </w:pPr>
      <w:r w:rsidRPr="000A154B">
        <w:rPr>
          <w:rFonts w:ascii="Arial" w:hAnsi="Arial" w:cs="Arial"/>
          <w:sz w:val="24"/>
          <w:szCs w:val="24"/>
        </w:rPr>
        <w:t>A partir de la recolección y análisis de datos, las conclusiones que se plantean son las siguientes:</w:t>
      </w:r>
    </w:p>
    <w:p w14:paraId="51B6B25F" w14:textId="71CBB1E5" w:rsidR="00BC795A" w:rsidRPr="00BC795A" w:rsidRDefault="00BC795A" w:rsidP="002D6CB0">
      <w:pPr>
        <w:pStyle w:val="Default"/>
        <w:numPr>
          <w:ilvl w:val="0"/>
          <w:numId w:val="4"/>
        </w:numPr>
        <w:spacing w:line="480" w:lineRule="auto"/>
        <w:jc w:val="both"/>
        <w:rPr>
          <w:rFonts w:ascii="Arial" w:hAnsi="Arial" w:cs="Arial"/>
        </w:rPr>
      </w:pPr>
      <w:r w:rsidRPr="00BC795A">
        <w:rPr>
          <w:rFonts w:ascii="Arial" w:hAnsi="Arial" w:cs="Arial"/>
          <w:color w:val="auto"/>
        </w:rPr>
        <w:lastRenderedPageBreak/>
        <w:t xml:space="preserve">Jeffrey </w:t>
      </w:r>
      <w:proofErr w:type="spellStart"/>
      <w:r w:rsidRPr="00BC795A">
        <w:rPr>
          <w:rFonts w:ascii="Arial" w:hAnsi="Arial" w:cs="Arial"/>
          <w:color w:val="auto"/>
        </w:rPr>
        <w:t>Weeks</w:t>
      </w:r>
      <w:proofErr w:type="spellEnd"/>
      <w:r w:rsidRPr="00BC795A">
        <w:rPr>
          <w:rFonts w:ascii="Arial" w:hAnsi="Arial" w:cs="Arial"/>
          <w:color w:val="auto"/>
        </w:rPr>
        <w:t xml:space="preserve">, </w:t>
      </w:r>
      <w:r w:rsidRPr="00BC795A">
        <w:rPr>
          <w:rFonts w:ascii="Arial" w:hAnsi="Arial" w:cs="Arial"/>
          <w:color w:val="auto"/>
        </w:rPr>
        <w:t xml:space="preserve">Pierre Bourdieu y Michel Foucault </w:t>
      </w:r>
      <w:r w:rsidRPr="00BC795A">
        <w:rPr>
          <w:rFonts w:ascii="Arial" w:hAnsi="Arial" w:cs="Arial"/>
          <w:color w:val="auto"/>
        </w:rPr>
        <w:t>son los autores que más citan los estudiosos de género.</w:t>
      </w:r>
    </w:p>
    <w:p w14:paraId="54EA85E1" w14:textId="77777777" w:rsidR="00BC795A" w:rsidRPr="000A154B" w:rsidRDefault="00BC795A" w:rsidP="002D6CB0">
      <w:pPr>
        <w:pStyle w:val="Default"/>
        <w:numPr>
          <w:ilvl w:val="0"/>
          <w:numId w:val="4"/>
        </w:numPr>
        <w:spacing w:line="480" w:lineRule="auto"/>
        <w:jc w:val="both"/>
        <w:rPr>
          <w:rFonts w:ascii="Arial" w:hAnsi="Arial" w:cs="Arial"/>
          <w:color w:val="auto"/>
        </w:rPr>
      </w:pPr>
      <w:r w:rsidRPr="000A154B">
        <w:rPr>
          <w:rFonts w:ascii="Arial" w:hAnsi="Arial" w:cs="Arial"/>
          <w:color w:val="auto"/>
        </w:rPr>
        <w:t>Las categorías y/o variables de estudio con regular frecuencia de aparición en los reportes de investigación fueron: violencia de las mujeres, violencia de género, equidad de género, papel de científicas y mujeres académicas, evaluación institucional, segregación o brecha de género, identidad docente y perspectiva de género. Todas estas variables y categorías han aparecido en 2 reportes de investigación cada una.</w:t>
      </w:r>
    </w:p>
    <w:p w14:paraId="48B9F3C9" w14:textId="77777777" w:rsidR="00BC795A" w:rsidRPr="000A154B" w:rsidRDefault="00BC795A" w:rsidP="002D6CB0">
      <w:pPr>
        <w:pStyle w:val="Prrafodelista"/>
        <w:numPr>
          <w:ilvl w:val="0"/>
          <w:numId w:val="4"/>
        </w:numPr>
        <w:rPr>
          <w:rFonts w:ascii="Arial" w:hAnsi="Arial" w:cs="Arial"/>
        </w:rPr>
      </w:pPr>
      <w:r w:rsidRPr="000A154B">
        <w:rPr>
          <w:rFonts w:ascii="Arial" w:hAnsi="Arial" w:cs="Arial"/>
        </w:rPr>
        <w:t xml:space="preserve">Los investigadores educativos que estudian género, y participan en CNIE de COMIE recurren más a las estrategias epistemológicas de </w:t>
      </w:r>
      <w:r w:rsidRPr="000A154B">
        <w:rPr>
          <w:rFonts w:ascii="Arial" w:hAnsi="Arial" w:cs="Arial"/>
          <w:i/>
        </w:rPr>
        <w:t xml:space="preserve">construir </w:t>
      </w:r>
      <w:r w:rsidRPr="000A154B">
        <w:rPr>
          <w:rFonts w:ascii="Arial" w:hAnsi="Arial" w:cs="Arial"/>
        </w:rPr>
        <w:t xml:space="preserve">e </w:t>
      </w:r>
      <w:r w:rsidRPr="000A154B">
        <w:rPr>
          <w:rFonts w:ascii="Arial" w:hAnsi="Arial" w:cs="Arial"/>
          <w:i/>
        </w:rPr>
        <w:t xml:space="preserve">interpretar, </w:t>
      </w:r>
      <w:r w:rsidRPr="000A154B">
        <w:rPr>
          <w:rFonts w:ascii="Arial" w:hAnsi="Arial" w:cs="Arial"/>
        </w:rPr>
        <w:t xml:space="preserve">que a </w:t>
      </w:r>
      <w:r w:rsidRPr="000A154B">
        <w:rPr>
          <w:rFonts w:ascii="Arial" w:hAnsi="Arial" w:cs="Arial"/>
          <w:i/>
        </w:rPr>
        <w:t>verificar.</w:t>
      </w:r>
    </w:p>
    <w:p w14:paraId="0A551EBA" w14:textId="77777777" w:rsidR="003065E2" w:rsidRPr="000A154B" w:rsidRDefault="003065E2" w:rsidP="002D6CB0">
      <w:pPr>
        <w:pStyle w:val="Prrafodelista"/>
        <w:numPr>
          <w:ilvl w:val="0"/>
          <w:numId w:val="4"/>
        </w:numPr>
        <w:rPr>
          <w:rFonts w:ascii="Arial" w:hAnsi="Arial" w:cs="Arial"/>
        </w:rPr>
      </w:pPr>
      <w:r w:rsidRPr="000A154B">
        <w:rPr>
          <w:rFonts w:ascii="Arial" w:hAnsi="Arial" w:cs="Arial"/>
        </w:rPr>
        <w:t>Los estudiosos de género en México que participan en los CNIE convocados por COMIE emplean más las metodologías cualitativas.</w:t>
      </w:r>
    </w:p>
    <w:p w14:paraId="53EC1ACA" w14:textId="77777777" w:rsidR="003065E2" w:rsidRPr="000A154B" w:rsidRDefault="003065E2" w:rsidP="002D6CB0">
      <w:pPr>
        <w:pStyle w:val="Prrafodelista"/>
        <w:numPr>
          <w:ilvl w:val="0"/>
          <w:numId w:val="4"/>
        </w:numPr>
        <w:rPr>
          <w:rFonts w:ascii="Arial" w:hAnsi="Arial" w:cs="Arial"/>
        </w:rPr>
      </w:pPr>
      <w:r w:rsidRPr="000A154B">
        <w:rPr>
          <w:rFonts w:ascii="Arial" w:hAnsi="Arial" w:cs="Arial"/>
        </w:rPr>
        <w:t>Se han aprobado ponencias en las líneas temáticas de género que no brindan elementos metodológicos de los estudios presentados.</w:t>
      </w:r>
    </w:p>
    <w:p w14:paraId="08F6B1EC" w14:textId="77777777" w:rsidR="00BC795A" w:rsidRDefault="00BC795A" w:rsidP="002D6CB0">
      <w:pPr>
        <w:pStyle w:val="Ttulo2"/>
        <w:rPr>
          <w:rFonts w:ascii="Arial" w:hAnsi="Arial" w:cs="Arial"/>
          <w:sz w:val="20"/>
          <w:szCs w:val="24"/>
        </w:rPr>
      </w:pPr>
      <w:r>
        <w:rPr>
          <w:rFonts w:ascii="Arial" w:hAnsi="Arial" w:cs="Arial"/>
          <w:sz w:val="20"/>
          <w:szCs w:val="24"/>
        </w:rPr>
        <w:t>_____________________-</w:t>
      </w:r>
    </w:p>
    <w:p w14:paraId="2ED7ECAE" w14:textId="7B14567D" w:rsidR="003065E2" w:rsidRPr="00BC795A" w:rsidRDefault="003065E2" w:rsidP="002D6CB0">
      <w:pPr>
        <w:pStyle w:val="Ttulo2"/>
        <w:rPr>
          <w:rFonts w:ascii="Arial" w:hAnsi="Arial" w:cs="Arial"/>
          <w:sz w:val="20"/>
          <w:szCs w:val="24"/>
        </w:rPr>
      </w:pPr>
      <w:r w:rsidRPr="00BC795A">
        <w:rPr>
          <w:rFonts w:ascii="Arial" w:hAnsi="Arial" w:cs="Arial"/>
          <w:sz w:val="20"/>
          <w:szCs w:val="24"/>
        </w:rPr>
        <w:t>Referencias</w:t>
      </w:r>
    </w:p>
    <w:p w14:paraId="44DB573B" w14:textId="77777777" w:rsidR="00BC795A" w:rsidRPr="00BC795A" w:rsidRDefault="00BC795A" w:rsidP="002D6CB0">
      <w:pPr>
        <w:spacing w:after="0" w:line="240" w:lineRule="auto"/>
        <w:ind w:left="709" w:hanging="709"/>
        <w:jc w:val="both"/>
        <w:rPr>
          <w:rFonts w:ascii="Arial" w:hAnsi="Arial" w:cs="Arial"/>
          <w:sz w:val="20"/>
          <w:szCs w:val="24"/>
        </w:rPr>
      </w:pPr>
      <w:proofErr w:type="spellStart"/>
      <w:r w:rsidRPr="00BC795A">
        <w:rPr>
          <w:rFonts w:ascii="Arial" w:hAnsi="Arial" w:cs="Arial"/>
          <w:sz w:val="20"/>
          <w:szCs w:val="24"/>
        </w:rPr>
        <w:t>Audelo</w:t>
      </w:r>
      <w:proofErr w:type="spellEnd"/>
      <w:r w:rsidRPr="00BC795A">
        <w:rPr>
          <w:rFonts w:ascii="Arial" w:hAnsi="Arial" w:cs="Arial"/>
          <w:sz w:val="20"/>
          <w:szCs w:val="24"/>
        </w:rPr>
        <w:t>, C., Rodríguez, M. y Urrea, M. (2009). La segregación académico/laboral de las profesoras de la Universidad Autónoma de Sinaloa. Veracruz: COMIE.</w:t>
      </w:r>
    </w:p>
    <w:p w14:paraId="2DAE441B" w14:textId="77777777" w:rsidR="00BC795A" w:rsidRPr="00BC795A" w:rsidRDefault="00BC795A" w:rsidP="002D6CB0">
      <w:pPr>
        <w:spacing w:after="0" w:line="240" w:lineRule="auto"/>
        <w:ind w:left="709" w:hanging="709"/>
        <w:jc w:val="both"/>
        <w:rPr>
          <w:rFonts w:ascii="Arial" w:hAnsi="Arial" w:cs="Arial"/>
          <w:sz w:val="20"/>
          <w:szCs w:val="24"/>
        </w:rPr>
      </w:pPr>
      <w:proofErr w:type="spellStart"/>
      <w:r w:rsidRPr="00BC795A">
        <w:rPr>
          <w:rFonts w:ascii="Arial" w:hAnsi="Arial" w:cs="Arial"/>
          <w:sz w:val="20"/>
          <w:szCs w:val="24"/>
        </w:rPr>
        <w:t>Audelo</w:t>
      </w:r>
      <w:proofErr w:type="spellEnd"/>
      <w:r w:rsidRPr="00BC795A">
        <w:rPr>
          <w:rFonts w:ascii="Arial" w:hAnsi="Arial" w:cs="Arial"/>
          <w:sz w:val="20"/>
          <w:szCs w:val="24"/>
        </w:rPr>
        <w:t xml:space="preserve">, C. Escobar, A. y Carillo, T. (2013).  Reconocimientos académicos e inequidades por razones </w:t>
      </w:r>
      <w:bookmarkStart w:id="0" w:name="_GoBack"/>
      <w:bookmarkEnd w:id="0"/>
      <w:r w:rsidRPr="00BC795A">
        <w:rPr>
          <w:rFonts w:ascii="Arial" w:hAnsi="Arial" w:cs="Arial"/>
          <w:sz w:val="20"/>
          <w:szCs w:val="24"/>
        </w:rPr>
        <w:t>de género en educación superior en Sinaloa.  Guanajuato: COMIE.</w:t>
      </w:r>
    </w:p>
    <w:p w14:paraId="2C9FAAA0" w14:textId="77777777" w:rsidR="003065E2" w:rsidRPr="00BC795A" w:rsidRDefault="003065E2" w:rsidP="002D6CB0">
      <w:pPr>
        <w:pStyle w:val="referencia"/>
        <w:spacing w:after="0"/>
        <w:ind w:left="709" w:hanging="709"/>
        <w:jc w:val="both"/>
        <w:rPr>
          <w:rFonts w:ascii="Arial" w:hAnsi="Arial" w:cs="Arial"/>
          <w:sz w:val="20"/>
        </w:rPr>
      </w:pPr>
      <w:proofErr w:type="spellStart"/>
      <w:r w:rsidRPr="00BC795A">
        <w:rPr>
          <w:rFonts w:ascii="Arial" w:hAnsi="Arial" w:cs="Arial"/>
          <w:sz w:val="20"/>
        </w:rPr>
        <w:t>Bachelard</w:t>
      </w:r>
      <w:proofErr w:type="spellEnd"/>
      <w:r w:rsidRPr="00BC795A">
        <w:rPr>
          <w:rFonts w:ascii="Arial" w:hAnsi="Arial" w:cs="Arial"/>
          <w:sz w:val="20"/>
        </w:rPr>
        <w:t>. G. (1988). La formación del espíritu científico. México, DF: Siglo XXI.</w:t>
      </w:r>
    </w:p>
    <w:p w14:paraId="245F42DE"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lang w:eastAsia="es-MX"/>
        </w:rPr>
        <w:t>Bañuelos, A. (2011) El significado de la docencia en la educación superior. México D.F.: COMIE.</w:t>
      </w:r>
    </w:p>
    <w:p w14:paraId="71C57D01"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lang w:val="pt-BR"/>
        </w:rPr>
        <w:t xml:space="preserve">Barbosa, J., Barbosa, J. y Rodríguez, M. (2013). </w:t>
      </w:r>
      <w:proofErr w:type="spellStart"/>
      <w:r w:rsidRPr="00BC795A">
        <w:rPr>
          <w:rFonts w:ascii="Arial" w:hAnsi="Arial" w:cs="Arial"/>
          <w:sz w:val="20"/>
          <w:szCs w:val="24"/>
          <w:lang w:val="pt-BR"/>
        </w:rPr>
        <w:t>Revisión</w:t>
      </w:r>
      <w:proofErr w:type="spellEnd"/>
      <w:r w:rsidRPr="00BC795A">
        <w:rPr>
          <w:rFonts w:ascii="Arial" w:hAnsi="Arial" w:cs="Arial"/>
          <w:sz w:val="20"/>
          <w:szCs w:val="24"/>
          <w:lang w:val="pt-BR"/>
        </w:rPr>
        <w:t xml:space="preserve"> y </w:t>
      </w:r>
      <w:proofErr w:type="spellStart"/>
      <w:r w:rsidRPr="00BC795A">
        <w:rPr>
          <w:rFonts w:ascii="Arial" w:hAnsi="Arial" w:cs="Arial"/>
          <w:sz w:val="20"/>
          <w:szCs w:val="24"/>
          <w:lang w:val="pt-BR"/>
        </w:rPr>
        <w:t>análisis</w:t>
      </w:r>
      <w:proofErr w:type="spellEnd"/>
      <w:r w:rsidRPr="00BC795A">
        <w:rPr>
          <w:rFonts w:ascii="Arial" w:hAnsi="Arial" w:cs="Arial"/>
          <w:sz w:val="20"/>
          <w:szCs w:val="24"/>
          <w:lang w:val="pt-BR"/>
        </w:rPr>
        <w:t xml:space="preserve"> documental para estado </w:t>
      </w:r>
      <w:proofErr w:type="spellStart"/>
      <w:r w:rsidRPr="00BC795A">
        <w:rPr>
          <w:rFonts w:ascii="Arial" w:hAnsi="Arial" w:cs="Arial"/>
          <w:sz w:val="20"/>
          <w:szCs w:val="24"/>
          <w:lang w:val="pt-BR"/>
        </w:rPr>
        <w:t>del</w:t>
      </w:r>
      <w:proofErr w:type="spellEnd"/>
      <w:r w:rsidRPr="00BC795A">
        <w:rPr>
          <w:rFonts w:ascii="Arial" w:hAnsi="Arial" w:cs="Arial"/>
          <w:sz w:val="20"/>
          <w:szCs w:val="24"/>
          <w:lang w:val="pt-BR"/>
        </w:rPr>
        <w:t xml:space="preserve"> arte: una </w:t>
      </w:r>
      <w:proofErr w:type="spellStart"/>
      <w:r w:rsidRPr="00BC795A">
        <w:rPr>
          <w:rFonts w:ascii="Arial" w:hAnsi="Arial" w:cs="Arial"/>
          <w:sz w:val="20"/>
          <w:szCs w:val="24"/>
          <w:lang w:val="pt-BR"/>
        </w:rPr>
        <w:t>propuesta</w:t>
      </w:r>
      <w:proofErr w:type="spellEnd"/>
      <w:r w:rsidRPr="00BC795A">
        <w:rPr>
          <w:rFonts w:ascii="Arial" w:hAnsi="Arial" w:cs="Arial"/>
          <w:sz w:val="20"/>
          <w:szCs w:val="24"/>
          <w:lang w:val="pt-BR"/>
        </w:rPr>
        <w:t xml:space="preserve"> metodológica desde </w:t>
      </w:r>
      <w:proofErr w:type="spellStart"/>
      <w:r w:rsidRPr="00BC795A">
        <w:rPr>
          <w:rFonts w:ascii="Arial" w:hAnsi="Arial" w:cs="Arial"/>
          <w:sz w:val="20"/>
          <w:szCs w:val="24"/>
          <w:lang w:val="pt-BR"/>
        </w:rPr>
        <w:t>el</w:t>
      </w:r>
      <w:proofErr w:type="spellEnd"/>
      <w:r w:rsidRPr="00BC795A">
        <w:rPr>
          <w:rFonts w:ascii="Arial" w:hAnsi="Arial" w:cs="Arial"/>
          <w:sz w:val="20"/>
          <w:szCs w:val="24"/>
          <w:lang w:val="pt-BR"/>
        </w:rPr>
        <w:t xml:space="preserve"> contexto de </w:t>
      </w:r>
      <w:proofErr w:type="spellStart"/>
      <w:r w:rsidRPr="00BC795A">
        <w:rPr>
          <w:rFonts w:ascii="Arial" w:hAnsi="Arial" w:cs="Arial"/>
          <w:sz w:val="20"/>
          <w:szCs w:val="24"/>
          <w:lang w:val="pt-BR"/>
        </w:rPr>
        <w:t>la</w:t>
      </w:r>
      <w:proofErr w:type="spellEnd"/>
      <w:r w:rsidRPr="00BC795A">
        <w:rPr>
          <w:rFonts w:ascii="Arial" w:hAnsi="Arial" w:cs="Arial"/>
          <w:sz w:val="20"/>
          <w:szCs w:val="24"/>
          <w:lang w:val="pt-BR"/>
        </w:rPr>
        <w:t xml:space="preserve"> </w:t>
      </w:r>
      <w:proofErr w:type="spellStart"/>
      <w:r w:rsidRPr="00BC795A">
        <w:rPr>
          <w:rFonts w:ascii="Arial" w:hAnsi="Arial" w:cs="Arial"/>
          <w:sz w:val="20"/>
          <w:szCs w:val="24"/>
          <w:lang w:val="pt-BR"/>
        </w:rPr>
        <w:t>sistematización</w:t>
      </w:r>
      <w:proofErr w:type="spellEnd"/>
      <w:r w:rsidRPr="00BC795A">
        <w:rPr>
          <w:rFonts w:ascii="Arial" w:hAnsi="Arial" w:cs="Arial"/>
          <w:sz w:val="20"/>
          <w:szCs w:val="24"/>
          <w:lang w:val="pt-BR"/>
        </w:rPr>
        <w:t xml:space="preserve"> de </w:t>
      </w:r>
      <w:proofErr w:type="spellStart"/>
      <w:r w:rsidRPr="00BC795A">
        <w:rPr>
          <w:rFonts w:ascii="Arial" w:hAnsi="Arial" w:cs="Arial"/>
          <w:sz w:val="20"/>
          <w:szCs w:val="24"/>
          <w:lang w:val="pt-BR"/>
        </w:rPr>
        <w:t>experiencias</w:t>
      </w:r>
      <w:proofErr w:type="spellEnd"/>
      <w:r w:rsidRPr="00BC795A">
        <w:rPr>
          <w:rFonts w:ascii="Arial" w:hAnsi="Arial" w:cs="Arial"/>
          <w:sz w:val="20"/>
          <w:szCs w:val="24"/>
          <w:lang w:val="pt-BR"/>
        </w:rPr>
        <w:t xml:space="preserve"> educativas. Revista </w:t>
      </w:r>
      <w:proofErr w:type="spellStart"/>
      <w:r w:rsidRPr="00BC795A">
        <w:rPr>
          <w:rFonts w:ascii="Arial" w:hAnsi="Arial" w:cs="Arial"/>
          <w:sz w:val="20"/>
          <w:szCs w:val="24"/>
          <w:lang w:val="pt-BR"/>
        </w:rPr>
        <w:t>Investigación</w:t>
      </w:r>
      <w:proofErr w:type="spellEnd"/>
      <w:r w:rsidRPr="00BC795A">
        <w:rPr>
          <w:rFonts w:ascii="Arial" w:hAnsi="Arial" w:cs="Arial"/>
          <w:sz w:val="20"/>
          <w:szCs w:val="24"/>
          <w:lang w:val="pt-BR"/>
        </w:rPr>
        <w:t xml:space="preserve"> </w:t>
      </w:r>
      <w:proofErr w:type="spellStart"/>
      <w:r w:rsidRPr="00BC795A">
        <w:rPr>
          <w:rFonts w:ascii="Arial" w:hAnsi="Arial" w:cs="Arial"/>
          <w:sz w:val="20"/>
          <w:szCs w:val="24"/>
          <w:lang w:val="pt-BR"/>
        </w:rPr>
        <w:t>bibliotecnológica</w:t>
      </w:r>
      <w:proofErr w:type="spellEnd"/>
      <w:r w:rsidRPr="00BC795A">
        <w:rPr>
          <w:rFonts w:ascii="Arial" w:hAnsi="Arial" w:cs="Arial"/>
          <w:sz w:val="20"/>
          <w:szCs w:val="24"/>
          <w:lang w:val="pt-BR"/>
        </w:rPr>
        <w:t xml:space="preserve">. Vol. 27, Núm. 61. </w:t>
      </w:r>
      <w:proofErr w:type="spellStart"/>
      <w:r w:rsidRPr="00BC795A">
        <w:rPr>
          <w:rFonts w:ascii="Arial" w:hAnsi="Arial" w:cs="Arial"/>
          <w:sz w:val="20"/>
          <w:szCs w:val="24"/>
          <w:lang w:val="pt-BR"/>
        </w:rPr>
        <w:t>Septiembre</w:t>
      </w:r>
      <w:proofErr w:type="spellEnd"/>
      <w:r w:rsidRPr="00BC795A">
        <w:rPr>
          <w:rFonts w:ascii="Arial" w:hAnsi="Arial" w:cs="Arial"/>
          <w:sz w:val="20"/>
          <w:szCs w:val="24"/>
          <w:lang w:val="pt-BR"/>
        </w:rPr>
        <w:t>, 2013, México. Pp. 83-105.</w:t>
      </w:r>
    </w:p>
    <w:p w14:paraId="11923DC5"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Castillo, E. y Maya, J. (2013). La aplicación de la política educativa en la institucionalización de la perspectiva de género, como vía de transformación cultural hacia la </w:t>
      </w:r>
      <w:proofErr w:type="spellStart"/>
      <w:r w:rsidRPr="00BC795A">
        <w:rPr>
          <w:rFonts w:ascii="Arial" w:hAnsi="Arial" w:cs="Arial"/>
          <w:sz w:val="20"/>
          <w:szCs w:val="24"/>
        </w:rPr>
        <w:t>transversalización</w:t>
      </w:r>
      <w:proofErr w:type="spellEnd"/>
      <w:r w:rsidRPr="00BC795A">
        <w:rPr>
          <w:rFonts w:ascii="Arial" w:hAnsi="Arial" w:cs="Arial"/>
          <w:sz w:val="20"/>
          <w:szCs w:val="24"/>
        </w:rPr>
        <w:t xml:space="preserve">. El caso de una institución pública de educación superior. </w:t>
      </w:r>
      <w:r w:rsidRPr="00BC795A">
        <w:rPr>
          <w:rFonts w:ascii="Arial" w:hAnsi="Arial" w:cs="Arial"/>
          <w:sz w:val="20"/>
          <w:szCs w:val="24"/>
          <w:lang w:eastAsia="es-MX"/>
        </w:rPr>
        <w:t>México D.F.: COMIE.</w:t>
      </w:r>
    </w:p>
    <w:p w14:paraId="325862DE"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Castro, M. (2013). Educación para todos: reflexiones sobre la igualdad. </w:t>
      </w:r>
      <w:r w:rsidRPr="00BC795A">
        <w:rPr>
          <w:rFonts w:ascii="Arial" w:hAnsi="Arial" w:cs="Arial"/>
          <w:sz w:val="20"/>
          <w:szCs w:val="24"/>
          <w:lang w:eastAsia="es-MX"/>
        </w:rPr>
        <w:t>México D.F.: COMIE.</w:t>
      </w:r>
    </w:p>
    <w:p w14:paraId="03D5B040"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lang w:eastAsia="es-MX"/>
        </w:rPr>
        <w:lastRenderedPageBreak/>
        <w:t xml:space="preserve">Cervantes, E., Gutiérrez, P. y Campos, E. (2013). Del trabajo doméstico al salón de clase: Trayectorias formativas de las mujeres profesoras de Educación Primaria. </w:t>
      </w:r>
      <w:r w:rsidRPr="00BC795A">
        <w:rPr>
          <w:rFonts w:ascii="Arial" w:hAnsi="Arial" w:cs="Arial"/>
          <w:sz w:val="20"/>
          <w:szCs w:val="24"/>
        </w:rPr>
        <w:t xml:space="preserve">. </w:t>
      </w:r>
      <w:r w:rsidRPr="00BC795A">
        <w:rPr>
          <w:rFonts w:ascii="Arial" w:hAnsi="Arial" w:cs="Arial"/>
          <w:sz w:val="20"/>
          <w:szCs w:val="24"/>
          <w:lang w:eastAsia="es-MX"/>
        </w:rPr>
        <w:t>México D.F.: COMIE.</w:t>
      </w:r>
    </w:p>
    <w:p w14:paraId="37D7334F" w14:textId="77777777" w:rsidR="00BC795A" w:rsidRPr="00BC795A" w:rsidRDefault="00BC795A" w:rsidP="002D6CB0">
      <w:pPr>
        <w:spacing w:after="0" w:line="240" w:lineRule="auto"/>
        <w:ind w:left="709" w:hanging="709"/>
        <w:jc w:val="both"/>
        <w:rPr>
          <w:rFonts w:ascii="Arial" w:hAnsi="Arial" w:cs="Arial"/>
          <w:sz w:val="20"/>
          <w:szCs w:val="24"/>
          <w:lang w:eastAsia="es-MX"/>
        </w:rPr>
      </w:pPr>
      <w:proofErr w:type="spellStart"/>
      <w:r w:rsidRPr="00BC795A">
        <w:rPr>
          <w:rFonts w:ascii="Arial" w:hAnsi="Arial" w:cs="Arial"/>
          <w:sz w:val="20"/>
          <w:szCs w:val="24"/>
          <w:lang w:eastAsia="es-MX"/>
        </w:rPr>
        <w:t>Chehaibar</w:t>
      </w:r>
      <w:proofErr w:type="spellEnd"/>
      <w:r w:rsidRPr="00BC795A">
        <w:rPr>
          <w:rFonts w:ascii="Arial" w:hAnsi="Arial" w:cs="Arial"/>
          <w:sz w:val="20"/>
          <w:szCs w:val="24"/>
          <w:lang w:eastAsia="es-MX"/>
        </w:rPr>
        <w:t>, L., De Alba, Alicia y Orozco, B. (2013). Intervención curricular para la incorporación de perspectiva de género. Una experiencia con seis instituciones militares. Guanajuato: COMIE.</w:t>
      </w:r>
    </w:p>
    <w:p w14:paraId="55D8300B"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De </w:t>
      </w:r>
      <w:proofErr w:type="spellStart"/>
      <w:r w:rsidRPr="00BC795A">
        <w:rPr>
          <w:rFonts w:ascii="Arial" w:hAnsi="Arial" w:cs="Arial"/>
          <w:sz w:val="20"/>
          <w:szCs w:val="24"/>
        </w:rPr>
        <w:t>Vries</w:t>
      </w:r>
      <w:proofErr w:type="spellEnd"/>
      <w:r w:rsidRPr="00BC795A">
        <w:rPr>
          <w:rFonts w:ascii="Arial" w:hAnsi="Arial" w:cs="Arial"/>
          <w:sz w:val="20"/>
          <w:szCs w:val="24"/>
        </w:rPr>
        <w:t>, W. y Navarro, Y. (2009). Egresados universitarios y equidad de género: evidencias de una exitosa revolución silenciosa. Veracruz: COMIE.</w:t>
      </w:r>
    </w:p>
    <w:p w14:paraId="2AB0C56B" w14:textId="77777777" w:rsidR="00BC795A" w:rsidRDefault="00BC795A" w:rsidP="002D6CB0">
      <w:pPr>
        <w:spacing w:after="0" w:line="240" w:lineRule="auto"/>
        <w:ind w:left="709" w:hanging="709"/>
        <w:jc w:val="both"/>
        <w:rPr>
          <w:rFonts w:ascii="Arial" w:hAnsi="Arial" w:cs="Arial"/>
          <w:sz w:val="20"/>
          <w:szCs w:val="24"/>
        </w:rPr>
      </w:pPr>
      <w:r w:rsidRPr="00BC795A">
        <w:rPr>
          <w:rFonts w:ascii="Arial" w:hAnsi="Arial" w:cs="Arial"/>
          <w:sz w:val="20"/>
          <w:szCs w:val="24"/>
        </w:rPr>
        <w:t>Del Valle, L. (2013). Género y tecnología. Resultados de una investigación de detección de talento tecnológico. Guanajuato: COMIE.</w:t>
      </w:r>
    </w:p>
    <w:p w14:paraId="439E0B76" w14:textId="5A925E6E" w:rsidR="00BC795A" w:rsidRPr="00BC795A" w:rsidRDefault="00BC795A" w:rsidP="002D6CB0">
      <w:pPr>
        <w:spacing w:after="0" w:line="240" w:lineRule="auto"/>
        <w:ind w:left="709" w:hanging="709"/>
        <w:jc w:val="both"/>
        <w:rPr>
          <w:rFonts w:ascii="Arial" w:hAnsi="Arial" w:cs="Arial"/>
          <w:sz w:val="20"/>
          <w:szCs w:val="24"/>
        </w:rPr>
      </w:pPr>
      <w:r w:rsidRPr="00BC795A">
        <w:rPr>
          <w:rFonts w:ascii="Arial" w:hAnsi="Arial" w:cs="Arial"/>
          <w:sz w:val="20"/>
          <w:szCs w:val="24"/>
        </w:rPr>
        <w:t>Escalante, M. (2011) La relación social de género en la Escuela Normal de San Luis Potosí durante la revolución Mexicana. México D.F.: COMIE.</w:t>
      </w:r>
    </w:p>
    <w:p w14:paraId="212A951F" w14:textId="77777777" w:rsidR="00BC795A" w:rsidRPr="00BC795A" w:rsidRDefault="00BC795A" w:rsidP="002D6CB0">
      <w:pPr>
        <w:spacing w:after="0" w:line="240" w:lineRule="auto"/>
        <w:ind w:left="709" w:hanging="709"/>
        <w:jc w:val="both"/>
        <w:rPr>
          <w:rFonts w:ascii="Arial" w:hAnsi="Arial" w:cs="Arial"/>
          <w:sz w:val="20"/>
          <w:szCs w:val="24"/>
        </w:rPr>
      </w:pPr>
      <w:r w:rsidRPr="00BC795A">
        <w:rPr>
          <w:rFonts w:ascii="Arial" w:hAnsi="Arial" w:cs="Arial"/>
          <w:sz w:val="20"/>
          <w:szCs w:val="24"/>
        </w:rPr>
        <w:t xml:space="preserve">Escobar, A., </w:t>
      </w:r>
      <w:proofErr w:type="spellStart"/>
      <w:r w:rsidRPr="00BC795A">
        <w:rPr>
          <w:rFonts w:ascii="Arial" w:hAnsi="Arial" w:cs="Arial"/>
          <w:sz w:val="20"/>
          <w:szCs w:val="24"/>
        </w:rPr>
        <w:t>Audelo</w:t>
      </w:r>
      <w:proofErr w:type="spellEnd"/>
      <w:r w:rsidRPr="00BC795A">
        <w:rPr>
          <w:rFonts w:ascii="Arial" w:hAnsi="Arial" w:cs="Arial"/>
          <w:sz w:val="20"/>
          <w:szCs w:val="24"/>
        </w:rPr>
        <w:t>, C. y Urrea, M. (2013). Segregación por género en la educación superior en el empleo de Sinaloa. Guanajuato: COMIE.</w:t>
      </w:r>
    </w:p>
    <w:p w14:paraId="046186AF" w14:textId="77777777" w:rsidR="003065E2" w:rsidRPr="00BC795A" w:rsidRDefault="003065E2" w:rsidP="002D6CB0">
      <w:pPr>
        <w:pStyle w:val="referencia"/>
        <w:spacing w:after="0"/>
        <w:ind w:left="709" w:hanging="709"/>
        <w:jc w:val="both"/>
        <w:rPr>
          <w:rFonts w:ascii="Arial" w:hAnsi="Arial" w:cs="Arial"/>
          <w:sz w:val="20"/>
        </w:rPr>
      </w:pPr>
      <w:proofErr w:type="spellStart"/>
      <w:r w:rsidRPr="00BC795A">
        <w:rPr>
          <w:rFonts w:ascii="Arial" w:hAnsi="Arial" w:cs="Arial"/>
          <w:sz w:val="20"/>
        </w:rPr>
        <w:t>Flick</w:t>
      </w:r>
      <w:proofErr w:type="spellEnd"/>
      <w:r w:rsidRPr="00BC795A">
        <w:rPr>
          <w:rFonts w:ascii="Arial" w:hAnsi="Arial" w:cs="Arial"/>
          <w:sz w:val="20"/>
        </w:rPr>
        <w:t>, U. (2004). Introducción a la investigación cualitativa. Madrid, España: Ed. Morata.</w:t>
      </w:r>
    </w:p>
    <w:p w14:paraId="3C3D8385" w14:textId="77777777" w:rsidR="00BC795A" w:rsidRDefault="00BC795A" w:rsidP="002D6CB0">
      <w:pPr>
        <w:pStyle w:val="referencia"/>
        <w:spacing w:after="0"/>
        <w:ind w:left="709" w:hanging="709"/>
        <w:jc w:val="both"/>
        <w:rPr>
          <w:rFonts w:ascii="Arial" w:hAnsi="Arial" w:cs="Arial"/>
          <w:sz w:val="20"/>
        </w:rPr>
      </w:pPr>
    </w:p>
    <w:p w14:paraId="32FE2B4E"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Fuentes, A. (2009). La especialización de estudios de género un espacio para la construcción de identidades. Veracruz: COMIE.</w:t>
      </w:r>
    </w:p>
    <w:p w14:paraId="5BD00D86"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García, P. y </w:t>
      </w:r>
      <w:proofErr w:type="spellStart"/>
      <w:r w:rsidRPr="00BC795A">
        <w:rPr>
          <w:rFonts w:ascii="Arial" w:hAnsi="Arial" w:cs="Arial"/>
          <w:sz w:val="20"/>
          <w:szCs w:val="24"/>
        </w:rPr>
        <w:t>Chayoya</w:t>
      </w:r>
      <w:proofErr w:type="spellEnd"/>
      <w:r w:rsidRPr="00BC795A">
        <w:rPr>
          <w:rFonts w:ascii="Arial" w:hAnsi="Arial" w:cs="Arial"/>
          <w:sz w:val="20"/>
          <w:szCs w:val="24"/>
        </w:rPr>
        <w:t>, M. (2013). Las profesoras-investigadoras en la universidad de Guadalajara y la evaluación académica. Guanajuato: COMIE.</w:t>
      </w:r>
    </w:p>
    <w:p w14:paraId="57A3C4BD"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eastAsia="Calibri" w:hAnsi="Arial" w:cs="Arial"/>
          <w:sz w:val="20"/>
          <w:szCs w:val="24"/>
        </w:rPr>
        <w:t>Gómez, L. y Juárez, J. (2013). Bajo desempeño femenino en matemáticas: ¿realidad, estereotipo o desigualdad? Guanajuato: COMIE.</w:t>
      </w:r>
    </w:p>
    <w:p w14:paraId="40BF788D"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Guevara, E. y García, A. (2011). Científicas y docentes de la UNAM en el impulso a la investigación del estudiantado de Medicina. México D.F.: COMIE.</w:t>
      </w:r>
    </w:p>
    <w:p w14:paraId="0C8096A9"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Guzmán, J., Guzmán, T., y Martínez, C. (2011). Análisis cuantitativo de la promoción de equidad de género en la profesión académica en la legislación de las universidades públicas estatales. México D.F.: COMIE.</w:t>
      </w:r>
    </w:p>
    <w:p w14:paraId="2C7890C9" w14:textId="77777777" w:rsidR="003065E2" w:rsidRPr="00BC795A" w:rsidRDefault="003065E2" w:rsidP="002D6CB0">
      <w:pPr>
        <w:pStyle w:val="referencia"/>
        <w:spacing w:after="0"/>
        <w:ind w:left="709" w:hanging="709"/>
        <w:jc w:val="both"/>
        <w:rPr>
          <w:rFonts w:ascii="Arial" w:hAnsi="Arial" w:cs="Arial"/>
          <w:sz w:val="20"/>
        </w:rPr>
      </w:pPr>
      <w:proofErr w:type="spellStart"/>
      <w:r w:rsidRPr="00BC795A">
        <w:rPr>
          <w:rFonts w:ascii="Arial" w:hAnsi="Arial" w:cs="Arial"/>
          <w:sz w:val="20"/>
        </w:rPr>
        <w:t>Harding</w:t>
      </w:r>
      <w:proofErr w:type="spellEnd"/>
      <w:r w:rsidRPr="00BC795A">
        <w:rPr>
          <w:rFonts w:ascii="Arial" w:hAnsi="Arial" w:cs="Arial"/>
          <w:sz w:val="20"/>
        </w:rPr>
        <w:t>, S. (1996). Ciencia y feminismo. Madrid, España: Ed. Morata.</w:t>
      </w:r>
    </w:p>
    <w:p w14:paraId="1C13A4A6"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eastAsia="Calibri" w:hAnsi="Arial" w:cs="Arial"/>
          <w:sz w:val="20"/>
          <w:szCs w:val="24"/>
        </w:rPr>
        <w:t>Hernández, A. e Ibarra, E. (2013). El género en el abandono escolar: las diferencias entre ellas y ellos. Guanajuato: COMIE.</w:t>
      </w:r>
    </w:p>
    <w:p w14:paraId="38CE9A1A"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Jiménez, D. (2013). La socialización en la formación doctoral de estudiantes mujeres en ciencias e ingenierías. Guanajuato: COMIE.</w:t>
      </w:r>
    </w:p>
    <w:p w14:paraId="2857451D" w14:textId="77777777" w:rsidR="003065E2" w:rsidRPr="00BC795A" w:rsidRDefault="003065E2" w:rsidP="002D6CB0">
      <w:pPr>
        <w:pStyle w:val="referencia"/>
        <w:spacing w:after="0"/>
        <w:ind w:left="709" w:hanging="709"/>
        <w:jc w:val="both"/>
        <w:rPr>
          <w:rFonts w:ascii="Arial" w:hAnsi="Arial" w:cs="Arial"/>
          <w:sz w:val="20"/>
        </w:rPr>
      </w:pPr>
      <w:proofErr w:type="spellStart"/>
      <w:r w:rsidRPr="00BC795A">
        <w:rPr>
          <w:rFonts w:ascii="Arial" w:hAnsi="Arial" w:cs="Arial"/>
          <w:sz w:val="20"/>
        </w:rPr>
        <w:t>Krippendorff</w:t>
      </w:r>
      <w:proofErr w:type="spellEnd"/>
      <w:r w:rsidRPr="00BC795A">
        <w:rPr>
          <w:rFonts w:ascii="Arial" w:hAnsi="Arial" w:cs="Arial"/>
          <w:sz w:val="20"/>
        </w:rPr>
        <w:t xml:space="preserve">, K. (1990). Metodología de análisis de contenido. </w:t>
      </w:r>
      <w:r w:rsidRPr="00BC795A">
        <w:rPr>
          <w:rFonts w:ascii="Arial" w:hAnsi="Arial" w:cs="Arial"/>
          <w:i/>
          <w:sz w:val="20"/>
        </w:rPr>
        <w:t>Teoría y práctica.</w:t>
      </w:r>
      <w:r w:rsidRPr="00BC795A">
        <w:rPr>
          <w:rFonts w:ascii="Arial" w:hAnsi="Arial" w:cs="Arial"/>
          <w:sz w:val="20"/>
        </w:rPr>
        <w:t xml:space="preserve"> Barcelona, España: Ed. Paidós.</w:t>
      </w:r>
    </w:p>
    <w:p w14:paraId="75646432"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López, S. (2013). Identidad docente e identidad de género en el nivel preescolar. Guanajuato: COMIE.</w:t>
      </w:r>
    </w:p>
    <w:p w14:paraId="37033810" w14:textId="77777777" w:rsidR="003065E2" w:rsidRPr="00BC795A" w:rsidRDefault="003065E2" w:rsidP="002D6CB0">
      <w:pPr>
        <w:pStyle w:val="referencia"/>
        <w:spacing w:after="0"/>
        <w:ind w:left="709" w:hanging="709"/>
        <w:jc w:val="both"/>
        <w:rPr>
          <w:rFonts w:ascii="Arial" w:hAnsi="Arial" w:cs="Arial"/>
          <w:sz w:val="20"/>
        </w:rPr>
      </w:pPr>
      <w:r w:rsidRPr="00BC795A">
        <w:rPr>
          <w:rFonts w:ascii="Arial" w:hAnsi="Arial" w:cs="Arial"/>
          <w:sz w:val="20"/>
        </w:rPr>
        <w:t xml:space="preserve">Miranda, J., Leyva, A. y </w:t>
      </w:r>
      <w:proofErr w:type="spellStart"/>
      <w:r w:rsidRPr="00BC795A">
        <w:rPr>
          <w:rFonts w:ascii="Arial" w:hAnsi="Arial" w:cs="Arial"/>
          <w:sz w:val="20"/>
        </w:rPr>
        <w:t>Frock</w:t>
      </w:r>
      <w:proofErr w:type="spellEnd"/>
      <w:r w:rsidRPr="00BC795A">
        <w:rPr>
          <w:rFonts w:ascii="Arial" w:hAnsi="Arial" w:cs="Arial"/>
          <w:sz w:val="20"/>
        </w:rPr>
        <w:t>, A. (2011). Taller de técnicas de análisis y validación de datos cualitativos. México, DF: COMIE.</w:t>
      </w:r>
    </w:p>
    <w:p w14:paraId="118A7F14" w14:textId="77777777" w:rsidR="003065E2" w:rsidRPr="00BC795A" w:rsidRDefault="003065E2" w:rsidP="002D6CB0">
      <w:pPr>
        <w:pStyle w:val="referencia"/>
        <w:spacing w:after="0"/>
        <w:ind w:left="709" w:hanging="709"/>
        <w:jc w:val="both"/>
        <w:rPr>
          <w:rFonts w:ascii="Arial" w:hAnsi="Arial" w:cs="Arial"/>
          <w:sz w:val="20"/>
        </w:rPr>
      </w:pPr>
      <w:r w:rsidRPr="00BC795A">
        <w:rPr>
          <w:rFonts w:ascii="Arial" w:hAnsi="Arial" w:cs="Arial"/>
          <w:sz w:val="20"/>
        </w:rPr>
        <w:t xml:space="preserve">Miranda, J. (2012). </w:t>
      </w:r>
      <w:r w:rsidRPr="00BC795A">
        <w:rPr>
          <w:rFonts w:ascii="Arial" w:hAnsi="Arial" w:cs="Arial"/>
          <w:bCs/>
          <w:sz w:val="20"/>
        </w:rPr>
        <w:t xml:space="preserve">La investigación educativa: </w:t>
      </w:r>
      <w:r w:rsidRPr="00BC795A">
        <w:rPr>
          <w:rFonts w:ascii="Arial" w:hAnsi="Arial" w:cs="Arial"/>
          <w:bCs/>
          <w:i/>
          <w:iCs/>
          <w:sz w:val="20"/>
        </w:rPr>
        <w:t xml:space="preserve">un espacio-tiempo pensado mediante tres niveles de reflexividad. </w:t>
      </w:r>
      <w:r w:rsidRPr="00BC795A">
        <w:rPr>
          <w:rFonts w:ascii="Arial" w:hAnsi="Arial" w:cs="Arial"/>
          <w:bCs/>
          <w:iCs/>
          <w:sz w:val="20"/>
        </w:rPr>
        <w:t>En: Revista electrónica de investigación educativa sonorense. Año IV, No. 12. Diciembre, 2012. Pp. 55-76.</w:t>
      </w:r>
    </w:p>
    <w:p w14:paraId="222C5899"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Navarro, M., </w:t>
      </w:r>
      <w:proofErr w:type="spellStart"/>
      <w:r w:rsidRPr="00BC795A">
        <w:rPr>
          <w:rFonts w:ascii="Arial" w:hAnsi="Arial" w:cs="Arial"/>
          <w:sz w:val="20"/>
          <w:szCs w:val="24"/>
        </w:rPr>
        <w:t>Lladó</w:t>
      </w:r>
      <w:proofErr w:type="spellEnd"/>
      <w:r w:rsidRPr="00BC795A">
        <w:rPr>
          <w:rFonts w:ascii="Arial" w:hAnsi="Arial" w:cs="Arial"/>
          <w:sz w:val="20"/>
          <w:szCs w:val="24"/>
        </w:rPr>
        <w:t>, D. y Sánchez, L. (2009). Egresados y género. Paridad en la matrícula, disparidad en el trabajo. Veracruz: COMIE.</w:t>
      </w:r>
    </w:p>
    <w:p w14:paraId="1A4FADF7"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Pereda, A. (2009). La violencia de género en la escuela secundaria en México. Estudio de caso. Veracruz: COMIE.</w:t>
      </w:r>
    </w:p>
    <w:p w14:paraId="7DD1A209"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_________ (2011). Violencia en contra de las mujeres y de género en las instituciones de educación superior del Distrito Federal y áreas metropolitanas. Orientaciones para el diseño pedagógico de propuesta de formación docente. México, DF: COMIE.</w:t>
      </w:r>
    </w:p>
    <w:p w14:paraId="6E423425"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Pereda, A. y Hernández, M. (2013). Perspectivas y alcances de la investigación e intervención educativa sobre violencia de género y violencia en contra de las mujeres en las instituciones de educación superior en México. Guanajuato: COMIE.</w:t>
      </w:r>
    </w:p>
    <w:p w14:paraId="7CD75976"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 xml:space="preserve">Preciado, F. y </w:t>
      </w:r>
      <w:proofErr w:type="spellStart"/>
      <w:r w:rsidRPr="00BC795A">
        <w:rPr>
          <w:rFonts w:ascii="Arial" w:hAnsi="Arial" w:cs="Arial"/>
          <w:sz w:val="20"/>
          <w:szCs w:val="24"/>
        </w:rPr>
        <w:t>Lorenzano</w:t>
      </w:r>
      <w:proofErr w:type="spellEnd"/>
      <w:r w:rsidRPr="00BC795A">
        <w:rPr>
          <w:rFonts w:ascii="Arial" w:hAnsi="Arial" w:cs="Arial"/>
          <w:sz w:val="20"/>
          <w:szCs w:val="24"/>
        </w:rPr>
        <w:t>, A. (2013). Las profesoras universitarias ante la evaluación académica. Guanajuato: COMIE.</w:t>
      </w:r>
    </w:p>
    <w:p w14:paraId="0939DDC3" w14:textId="77777777" w:rsidR="003065E2" w:rsidRPr="00BC795A" w:rsidRDefault="003065E2" w:rsidP="002D6CB0">
      <w:pPr>
        <w:pStyle w:val="referencia"/>
        <w:spacing w:after="0"/>
        <w:ind w:left="709" w:hanging="709"/>
        <w:jc w:val="both"/>
        <w:rPr>
          <w:rFonts w:ascii="Arial" w:hAnsi="Arial" w:cs="Arial"/>
          <w:sz w:val="20"/>
        </w:rPr>
      </w:pPr>
      <w:r w:rsidRPr="00BC795A">
        <w:rPr>
          <w:rFonts w:ascii="Arial" w:hAnsi="Arial" w:cs="Arial"/>
          <w:sz w:val="20"/>
        </w:rPr>
        <w:t xml:space="preserve">Sierra, R. (2005). Técnicas de investigación social. </w:t>
      </w:r>
      <w:r w:rsidRPr="00BC795A">
        <w:rPr>
          <w:rFonts w:ascii="Arial" w:hAnsi="Arial" w:cs="Arial"/>
          <w:i/>
          <w:sz w:val="20"/>
        </w:rPr>
        <w:t>Teoría y ejercicios.</w:t>
      </w:r>
      <w:r w:rsidRPr="00BC795A">
        <w:rPr>
          <w:rFonts w:ascii="Arial" w:hAnsi="Arial" w:cs="Arial"/>
          <w:sz w:val="20"/>
        </w:rPr>
        <w:t xml:space="preserve"> Madrid, España: Ed. Paraninfo.</w:t>
      </w:r>
    </w:p>
    <w:p w14:paraId="0BFD3DDC" w14:textId="77777777" w:rsidR="003065E2" w:rsidRPr="00BC795A" w:rsidRDefault="003065E2" w:rsidP="002D6CB0">
      <w:pPr>
        <w:pStyle w:val="referencia"/>
        <w:spacing w:after="0"/>
        <w:ind w:left="709" w:hanging="709"/>
        <w:jc w:val="both"/>
        <w:rPr>
          <w:rFonts w:ascii="Arial" w:hAnsi="Arial" w:cs="Arial"/>
          <w:sz w:val="20"/>
        </w:rPr>
      </w:pPr>
      <w:r w:rsidRPr="00BC795A">
        <w:rPr>
          <w:rFonts w:ascii="Arial" w:hAnsi="Arial" w:cs="Arial"/>
          <w:sz w:val="20"/>
        </w:rPr>
        <w:t xml:space="preserve">Valles, M. (2007). Técnicas cualitativas de investigación social. </w:t>
      </w:r>
      <w:r w:rsidRPr="00BC795A">
        <w:rPr>
          <w:rFonts w:ascii="Arial" w:hAnsi="Arial" w:cs="Arial"/>
          <w:i/>
          <w:iCs/>
          <w:sz w:val="20"/>
        </w:rPr>
        <w:t xml:space="preserve">Reflexión metodológica y práctica profesional. </w:t>
      </w:r>
      <w:r w:rsidRPr="00BC795A">
        <w:rPr>
          <w:rFonts w:ascii="Arial" w:hAnsi="Arial" w:cs="Arial"/>
          <w:sz w:val="20"/>
        </w:rPr>
        <w:t>Madrid, España: Ed. Síntesis.</w:t>
      </w:r>
    </w:p>
    <w:p w14:paraId="71B26160"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Vázquez, R. y Mendoza, A. (2013). De maestra cuida niños a profesionista de la educación. Co-construcción de signos heredados. Nuevas formas de valorización del trabajo docente en preescolar. Guanajuato: COMIE.</w:t>
      </w:r>
    </w:p>
    <w:p w14:paraId="634E86D3"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lastRenderedPageBreak/>
        <w:t>Viloria, E. Santillán, V. (2013) Trayectorias académicas y el techo de cristal en Derecho y Economía.   Guanajuato: COMIE.</w:t>
      </w:r>
    </w:p>
    <w:p w14:paraId="56973CAB" w14:textId="77777777" w:rsidR="00BC795A" w:rsidRPr="00BC795A" w:rsidRDefault="00BC795A" w:rsidP="002D6CB0">
      <w:pPr>
        <w:spacing w:after="0" w:line="240" w:lineRule="auto"/>
        <w:ind w:left="709" w:hanging="709"/>
        <w:jc w:val="both"/>
        <w:rPr>
          <w:rFonts w:ascii="Arial" w:hAnsi="Arial" w:cs="Arial"/>
          <w:sz w:val="20"/>
          <w:szCs w:val="24"/>
          <w:lang w:eastAsia="es-MX"/>
        </w:rPr>
      </w:pPr>
      <w:r w:rsidRPr="00BC795A">
        <w:rPr>
          <w:rFonts w:ascii="Arial" w:hAnsi="Arial" w:cs="Arial"/>
          <w:sz w:val="20"/>
          <w:szCs w:val="24"/>
        </w:rPr>
        <w:t>Villa, L. (2013). Educación superior, inclusión desigualdad y género. Guanajuato: COMIE.</w:t>
      </w:r>
    </w:p>
    <w:p w14:paraId="02FF5B2B" w14:textId="77777777" w:rsidR="00BC795A" w:rsidRPr="00BC795A" w:rsidRDefault="00BC795A" w:rsidP="002D6CB0">
      <w:pPr>
        <w:pStyle w:val="referencia"/>
        <w:spacing w:after="0"/>
        <w:ind w:left="0" w:firstLine="0"/>
        <w:jc w:val="both"/>
        <w:rPr>
          <w:rFonts w:ascii="Arial" w:hAnsi="Arial" w:cs="Arial"/>
          <w:sz w:val="20"/>
        </w:rPr>
      </w:pPr>
    </w:p>
    <w:p w14:paraId="4CC117A1" w14:textId="77777777" w:rsidR="003065E2" w:rsidRPr="000A154B" w:rsidRDefault="003065E2" w:rsidP="002D6CB0">
      <w:pPr>
        <w:pStyle w:val="referencia"/>
        <w:spacing w:after="0" w:line="480" w:lineRule="auto"/>
        <w:ind w:left="0" w:firstLine="0"/>
        <w:jc w:val="both"/>
        <w:rPr>
          <w:rFonts w:ascii="Arial" w:hAnsi="Arial" w:cs="Arial"/>
        </w:rPr>
      </w:pPr>
    </w:p>
    <w:p w14:paraId="26B46703" w14:textId="77777777" w:rsidR="003065E2" w:rsidRPr="000A154B" w:rsidRDefault="003065E2" w:rsidP="002D6CB0">
      <w:pPr>
        <w:pStyle w:val="referencia"/>
        <w:spacing w:after="0" w:line="480" w:lineRule="auto"/>
        <w:ind w:left="0" w:firstLine="0"/>
        <w:jc w:val="both"/>
        <w:rPr>
          <w:rFonts w:ascii="Arial" w:hAnsi="Arial" w:cs="Arial"/>
        </w:rPr>
      </w:pPr>
    </w:p>
    <w:p w14:paraId="71E0AAAA" w14:textId="77777777" w:rsidR="003065E2" w:rsidRPr="000A154B" w:rsidRDefault="003065E2" w:rsidP="002D6CB0">
      <w:pPr>
        <w:pStyle w:val="referencia"/>
        <w:spacing w:after="0" w:line="480" w:lineRule="auto"/>
        <w:ind w:left="0" w:firstLine="0"/>
        <w:jc w:val="both"/>
        <w:rPr>
          <w:rFonts w:ascii="Arial" w:hAnsi="Arial" w:cs="Arial"/>
        </w:rPr>
      </w:pPr>
    </w:p>
    <w:p w14:paraId="53002E06" w14:textId="77777777" w:rsidR="003065E2" w:rsidRPr="000A154B" w:rsidRDefault="003065E2" w:rsidP="002D6CB0">
      <w:pPr>
        <w:pStyle w:val="referencia"/>
        <w:spacing w:after="0" w:line="480" w:lineRule="auto"/>
        <w:ind w:left="0" w:firstLine="0"/>
        <w:jc w:val="both"/>
        <w:rPr>
          <w:rFonts w:ascii="Arial" w:hAnsi="Arial" w:cs="Arial"/>
        </w:rPr>
      </w:pPr>
    </w:p>
    <w:p w14:paraId="48F2762B" w14:textId="77777777" w:rsidR="003065E2" w:rsidRPr="000A154B" w:rsidRDefault="003065E2" w:rsidP="002D6CB0">
      <w:pPr>
        <w:pStyle w:val="referencia"/>
        <w:spacing w:after="0" w:line="480" w:lineRule="auto"/>
        <w:ind w:left="0" w:firstLine="0"/>
        <w:jc w:val="both"/>
        <w:rPr>
          <w:rFonts w:ascii="Arial" w:hAnsi="Arial" w:cs="Arial"/>
        </w:rPr>
      </w:pPr>
    </w:p>
    <w:p w14:paraId="18AC2F3B" w14:textId="77777777" w:rsidR="003065E2" w:rsidRPr="000A154B" w:rsidRDefault="003065E2" w:rsidP="002D6CB0">
      <w:pPr>
        <w:pStyle w:val="referencia"/>
        <w:spacing w:after="0" w:line="480" w:lineRule="auto"/>
        <w:ind w:left="0" w:firstLine="0"/>
        <w:jc w:val="both"/>
        <w:rPr>
          <w:rFonts w:ascii="Arial" w:hAnsi="Arial" w:cs="Arial"/>
        </w:rPr>
      </w:pPr>
    </w:p>
    <w:p w14:paraId="209CBB95" w14:textId="77777777" w:rsidR="003065E2" w:rsidRPr="000A154B" w:rsidRDefault="003065E2" w:rsidP="002D6CB0">
      <w:pPr>
        <w:pStyle w:val="referencia"/>
        <w:spacing w:after="0" w:line="480" w:lineRule="auto"/>
        <w:ind w:left="0" w:firstLine="0"/>
        <w:jc w:val="both"/>
        <w:rPr>
          <w:rFonts w:ascii="Arial" w:hAnsi="Arial" w:cs="Arial"/>
        </w:rPr>
      </w:pPr>
    </w:p>
    <w:p w14:paraId="37D5121B" w14:textId="77777777" w:rsidR="003065E2" w:rsidRPr="000A154B" w:rsidRDefault="003065E2" w:rsidP="002D6CB0">
      <w:pPr>
        <w:pStyle w:val="referencia"/>
        <w:spacing w:after="0" w:line="480" w:lineRule="auto"/>
        <w:ind w:left="0" w:firstLine="0"/>
        <w:jc w:val="both"/>
        <w:rPr>
          <w:rFonts w:ascii="Arial" w:hAnsi="Arial" w:cs="Arial"/>
        </w:rPr>
      </w:pPr>
    </w:p>
    <w:p w14:paraId="04245A86" w14:textId="77777777" w:rsidR="003065E2" w:rsidRPr="000A154B" w:rsidRDefault="003065E2" w:rsidP="002D6CB0">
      <w:pPr>
        <w:pStyle w:val="referencia"/>
        <w:spacing w:after="0" w:line="480" w:lineRule="auto"/>
        <w:ind w:left="0" w:firstLine="0"/>
        <w:jc w:val="both"/>
        <w:rPr>
          <w:rFonts w:ascii="Arial" w:hAnsi="Arial" w:cs="Arial"/>
        </w:rPr>
      </w:pPr>
    </w:p>
    <w:p w14:paraId="01B16973" w14:textId="77777777" w:rsidR="003065E2" w:rsidRPr="000A154B" w:rsidRDefault="003065E2" w:rsidP="002D6CB0">
      <w:pPr>
        <w:pStyle w:val="referencia"/>
        <w:spacing w:after="0" w:line="480" w:lineRule="auto"/>
        <w:ind w:left="0" w:firstLine="0"/>
        <w:jc w:val="both"/>
        <w:rPr>
          <w:rFonts w:ascii="Arial" w:hAnsi="Arial" w:cs="Arial"/>
        </w:rPr>
      </w:pPr>
    </w:p>
    <w:p w14:paraId="0E271F0C" w14:textId="77777777" w:rsidR="003065E2" w:rsidRPr="000A154B" w:rsidRDefault="003065E2" w:rsidP="002D6CB0">
      <w:pPr>
        <w:pStyle w:val="referencia"/>
        <w:spacing w:after="0" w:line="480" w:lineRule="auto"/>
        <w:ind w:left="0" w:firstLine="0"/>
        <w:jc w:val="both"/>
        <w:rPr>
          <w:rFonts w:ascii="Arial" w:hAnsi="Arial" w:cs="Arial"/>
        </w:rPr>
      </w:pPr>
    </w:p>
    <w:p w14:paraId="0DDEC0AB" w14:textId="77777777" w:rsidR="003065E2" w:rsidRPr="000A154B" w:rsidRDefault="003065E2" w:rsidP="002D6CB0">
      <w:pPr>
        <w:pStyle w:val="referencia"/>
        <w:spacing w:after="0" w:line="480" w:lineRule="auto"/>
        <w:ind w:left="0" w:firstLine="0"/>
        <w:jc w:val="both"/>
        <w:rPr>
          <w:rFonts w:ascii="Arial" w:hAnsi="Arial" w:cs="Arial"/>
        </w:rPr>
      </w:pPr>
    </w:p>
    <w:p w14:paraId="3592182B" w14:textId="77777777" w:rsidR="003065E2" w:rsidRPr="000A154B" w:rsidRDefault="003065E2" w:rsidP="002D6CB0">
      <w:pPr>
        <w:pStyle w:val="referencia"/>
        <w:spacing w:after="0" w:line="480" w:lineRule="auto"/>
        <w:ind w:left="0" w:firstLine="0"/>
        <w:jc w:val="both"/>
        <w:rPr>
          <w:rFonts w:ascii="Arial" w:hAnsi="Arial" w:cs="Arial"/>
        </w:rPr>
      </w:pPr>
    </w:p>
    <w:p w14:paraId="40B5FE5E" w14:textId="77777777" w:rsidR="003065E2" w:rsidRPr="000A154B" w:rsidRDefault="003065E2" w:rsidP="002D6CB0">
      <w:pPr>
        <w:pStyle w:val="referencia"/>
        <w:spacing w:after="0" w:line="480" w:lineRule="auto"/>
        <w:ind w:left="0" w:firstLine="0"/>
        <w:jc w:val="both"/>
        <w:rPr>
          <w:rFonts w:ascii="Arial" w:hAnsi="Arial" w:cs="Arial"/>
        </w:rPr>
      </w:pPr>
    </w:p>
    <w:p w14:paraId="20EC2056" w14:textId="77777777" w:rsidR="003065E2" w:rsidRPr="000A154B" w:rsidRDefault="003065E2" w:rsidP="002D6CB0">
      <w:pPr>
        <w:pStyle w:val="referencia"/>
        <w:spacing w:after="0" w:line="480" w:lineRule="auto"/>
        <w:ind w:left="0" w:firstLine="0"/>
        <w:jc w:val="both"/>
        <w:rPr>
          <w:rFonts w:ascii="Arial" w:hAnsi="Arial" w:cs="Arial"/>
        </w:rPr>
      </w:pPr>
    </w:p>
    <w:p w14:paraId="1DA141F6" w14:textId="77777777" w:rsidR="003065E2" w:rsidRPr="000A154B" w:rsidRDefault="003065E2" w:rsidP="002D6CB0">
      <w:pPr>
        <w:pStyle w:val="referencia"/>
        <w:spacing w:after="0" w:line="480" w:lineRule="auto"/>
        <w:ind w:left="0" w:firstLine="0"/>
        <w:jc w:val="both"/>
        <w:rPr>
          <w:rFonts w:ascii="Arial" w:hAnsi="Arial" w:cs="Arial"/>
        </w:rPr>
      </w:pPr>
    </w:p>
    <w:p w14:paraId="4E6C2F1E" w14:textId="77777777" w:rsidR="003065E2" w:rsidRPr="000A154B" w:rsidRDefault="003065E2" w:rsidP="002D6CB0">
      <w:pPr>
        <w:pStyle w:val="referencia"/>
        <w:spacing w:after="0" w:line="480" w:lineRule="auto"/>
        <w:ind w:left="0" w:firstLine="0"/>
        <w:jc w:val="both"/>
        <w:rPr>
          <w:rFonts w:ascii="Arial" w:hAnsi="Arial" w:cs="Arial"/>
        </w:rPr>
      </w:pPr>
    </w:p>
    <w:p w14:paraId="275866F2" w14:textId="77777777" w:rsidR="003065E2" w:rsidRPr="000A154B" w:rsidRDefault="003065E2" w:rsidP="002D6CB0">
      <w:pPr>
        <w:pStyle w:val="referencia"/>
        <w:spacing w:after="0" w:line="480" w:lineRule="auto"/>
        <w:ind w:left="0" w:firstLine="0"/>
        <w:jc w:val="both"/>
        <w:rPr>
          <w:rFonts w:ascii="Arial" w:hAnsi="Arial" w:cs="Arial"/>
        </w:rPr>
      </w:pPr>
    </w:p>
    <w:sectPr w:rsidR="003065E2" w:rsidRPr="000A154B" w:rsidSect="00FA1945">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47204"/>
    <w:multiLevelType w:val="hybridMultilevel"/>
    <w:tmpl w:val="4C1E844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DEB1C5E"/>
    <w:multiLevelType w:val="hybridMultilevel"/>
    <w:tmpl w:val="F0F8DE40"/>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15:restartNumberingAfterBreak="0">
    <w:nsid w:val="12190CF2"/>
    <w:multiLevelType w:val="hybridMultilevel"/>
    <w:tmpl w:val="DA520B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DC571F4"/>
    <w:multiLevelType w:val="hybridMultilevel"/>
    <w:tmpl w:val="4AF27E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3FAF587C"/>
    <w:multiLevelType w:val="hybridMultilevel"/>
    <w:tmpl w:val="2C0C50EA"/>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5" w15:restartNumberingAfterBreak="0">
    <w:nsid w:val="41B57F6D"/>
    <w:multiLevelType w:val="hybridMultilevel"/>
    <w:tmpl w:val="AA1692B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49BB466F"/>
    <w:multiLevelType w:val="hybridMultilevel"/>
    <w:tmpl w:val="9EC211B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4FD9745B"/>
    <w:multiLevelType w:val="hybridMultilevel"/>
    <w:tmpl w:val="468E3E0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5499430B"/>
    <w:multiLevelType w:val="hybridMultilevel"/>
    <w:tmpl w:val="688E7BB0"/>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9" w15:restartNumberingAfterBreak="0">
    <w:nsid w:val="59717D13"/>
    <w:multiLevelType w:val="hybridMultilevel"/>
    <w:tmpl w:val="A95A4F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0B93690"/>
    <w:multiLevelType w:val="hybridMultilevel"/>
    <w:tmpl w:val="F6641B2E"/>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1" w15:restartNumberingAfterBreak="0">
    <w:nsid w:val="75934EC3"/>
    <w:multiLevelType w:val="hybridMultilevel"/>
    <w:tmpl w:val="B6381C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774A1EE3"/>
    <w:multiLevelType w:val="hybridMultilevel"/>
    <w:tmpl w:val="033EBA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44C"/>
    <w:rsid w:val="00037802"/>
    <w:rsid w:val="00076530"/>
    <w:rsid w:val="000A154B"/>
    <w:rsid w:val="000D0F2E"/>
    <w:rsid w:val="00160912"/>
    <w:rsid w:val="001611DE"/>
    <w:rsid w:val="001B589F"/>
    <w:rsid w:val="001D716A"/>
    <w:rsid w:val="00206510"/>
    <w:rsid w:val="002D0EC9"/>
    <w:rsid w:val="002D6CB0"/>
    <w:rsid w:val="003065E2"/>
    <w:rsid w:val="0033244C"/>
    <w:rsid w:val="00350B46"/>
    <w:rsid w:val="00500B6F"/>
    <w:rsid w:val="00504788"/>
    <w:rsid w:val="00571BE8"/>
    <w:rsid w:val="00595723"/>
    <w:rsid w:val="005F5C0D"/>
    <w:rsid w:val="006A2ED1"/>
    <w:rsid w:val="006B25ED"/>
    <w:rsid w:val="00775760"/>
    <w:rsid w:val="00790C71"/>
    <w:rsid w:val="00826BD9"/>
    <w:rsid w:val="00833DCC"/>
    <w:rsid w:val="008E404C"/>
    <w:rsid w:val="009D0B49"/>
    <w:rsid w:val="00A24B7E"/>
    <w:rsid w:val="00A25DA7"/>
    <w:rsid w:val="00A547E8"/>
    <w:rsid w:val="00A84117"/>
    <w:rsid w:val="00A97A04"/>
    <w:rsid w:val="00B36DB4"/>
    <w:rsid w:val="00BC54E5"/>
    <w:rsid w:val="00BC795A"/>
    <w:rsid w:val="00BE72F1"/>
    <w:rsid w:val="00C26406"/>
    <w:rsid w:val="00C26EA0"/>
    <w:rsid w:val="00C606A1"/>
    <w:rsid w:val="00C704F5"/>
    <w:rsid w:val="00CC1629"/>
    <w:rsid w:val="00D06C38"/>
    <w:rsid w:val="00D44455"/>
    <w:rsid w:val="00D75E4E"/>
    <w:rsid w:val="00DE15A2"/>
    <w:rsid w:val="00E256BB"/>
    <w:rsid w:val="00E81E17"/>
    <w:rsid w:val="00EE2BD8"/>
    <w:rsid w:val="00F6158B"/>
    <w:rsid w:val="00F7181A"/>
    <w:rsid w:val="00FA1945"/>
    <w:rsid w:val="00FA7C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7AD9"/>
  <w15:chartTrackingRefBased/>
  <w15:docId w15:val="{40F9371E-18F3-43AA-890C-D0E8EE0E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065E2"/>
    <w:pPr>
      <w:keepNext/>
      <w:keepLines/>
      <w:spacing w:after="360" w:line="240" w:lineRule="auto"/>
      <w:jc w:val="center"/>
      <w:outlineLvl w:val="0"/>
    </w:pPr>
    <w:rPr>
      <w:rFonts w:ascii="Times New Roman" w:eastAsiaTheme="majorEastAsia" w:hAnsi="Times New Roman" w:cs="Times New Roman"/>
      <w:b/>
      <w:bCs/>
      <w:color w:val="000000" w:themeColor="text1"/>
      <w:sz w:val="32"/>
      <w:szCs w:val="32"/>
    </w:rPr>
  </w:style>
  <w:style w:type="paragraph" w:styleId="Ttulo2">
    <w:name w:val="heading 2"/>
    <w:basedOn w:val="Normal"/>
    <w:next w:val="Normal"/>
    <w:link w:val="Ttulo2Car"/>
    <w:uiPriority w:val="9"/>
    <w:semiHidden/>
    <w:unhideWhenUsed/>
    <w:qFormat/>
    <w:rsid w:val="003065E2"/>
    <w:pPr>
      <w:keepNext/>
      <w:keepLines/>
      <w:spacing w:before="240" w:after="240" w:line="240" w:lineRule="auto"/>
      <w:jc w:val="both"/>
      <w:outlineLvl w:val="1"/>
    </w:pPr>
    <w:rPr>
      <w:rFonts w:ascii="Times New Roman" w:eastAsiaTheme="majorEastAsia" w:hAnsi="Times New Roman" w:cs="Times New Roman"/>
      <w:b/>
      <w:bCs/>
      <w:color w:val="000000" w:themeColor="text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D0EC9"/>
    <w:rPr>
      <w:sz w:val="16"/>
      <w:szCs w:val="16"/>
    </w:rPr>
  </w:style>
  <w:style w:type="paragraph" w:styleId="Textocomentario">
    <w:name w:val="annotation text"/>
    <w:basedOn w:val="Normal"/>
    <w:link w:val="TextocomentarioCar"/>
    <w:uiPriority w:val="99"/>
    <w:semiHidden/>
    <w:unhideWhenUsed/>
    <w:rsid w:val="002D0E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0EC9"/>
    <w:rPr>
      <w:sz w:val="20"/>
      <w:szCs w:val="20"/>
    </w:rPr>
  </w:style>
  <w:style w:type="paragraph" w:styleId="Asuntodelcomentario">
    <w:name w:val="annotation subject"/>
    <w:basedOn w:val="Textocomentario"/>
    <w:next w:val="Textocomentario"/>
    <w:link w:val="AsuntodelcomentarioCar"/>
    <w:uiPriority w:val="99"/>
    <w:semiHidden/>
    <w:unhideWhenUsed/>
    <w:rsid w:val="002D0EC9"/>
    <w:rPr>
      <w:b/>
      <w:bCs/>
    </w:rPr>
  </w:style>
  <w:style w:type="character" w:customStyle="1" w:styleId="AsuntodelcomentarioCar">
    <w:name w:val="Asunto del comentario Car"/>
    <w:basedOn w:val="TextocomentarioCar"/>
    <w:link w:val="Asuntodelcomentario"/>
    <w:uiPriority w:val="99"/>
    <w:semiHidden/>
    <w:rsid w:val="002D0EC9"/>
    <w:rPr>
      <w:b/>
      <w:bCs/>
      <w:sz w:val="20"/>
      <w:szCs w:val="20"/>
    </w:rPr>
  </w:style>
  <w:style w:type="paragraph" w:styleId="Textodeglobo">
    <w:name w:val="Balloon Text"/>
    <w:basedOn w:val="Normal"/>
    <w:link w:val="TextodegloboCar"/>
    <w:uiPriority w:val="99"/>
    <w:semiHidden/>
    <w:unhideWhenUsed/>
    <w:rsid w:val="002D0E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0EC9"/>
    <w:rPr>
      <w:rFonts w:ascii="Segoe UI" w:hAnsi="Segoe UI" w:cs="Segoe UI"/>
      <w:sz w:val="18"/>
      <w:szCs w:val="18"/>
    </w:rPr>
  </w:style>
  <w:style w:type="character" w:customStyle="1" w:styleId="article-title">
    <w:name w:val="article-title"/>
    <w:basedOn w:val="Fuentedeprrafopredeter"/>
    <w:rsid w:val="001D716A"/>
  </w:style>
  <w:style w:type="character" w:customStyle="1" w:styleId="apple-converted-space">
    <w:name w:val="apple-converted-space"/>
    <w:basedOn w:val="Fuentedeprrafopredeter"/>
    <w:rsid w:val="001D716A"/>
  </w:style>
  <w:style w:type="character" w:styleId="Hipervnculo">
    <w:name w:val="Hyperlink"/>
    <w:basedOn w:val="Fuentedeprrafopredeter"/>
    <w:uiPriority w:val="99"/>
    <w:unhideWhenUsed/>
    <w:rsid w:val="001D716A"/>
    <w:rPr>
      <w:color w:val="0563C1" w:themeColor="hyperlink"/>
      <w:u w:val="single"/>
    </w:rPr>
  </w:style>
  <w:style w:type="character" w:customStyle="1" w:styleId="Ttulo1Car">
    <w:name w:val="Título 1 Car"/>
    <w:basedOn w:val="Fuentedeprrafopredeter"/>
    <w:link w:val="Ttulo1"/>
    <w:uiPriority w:val="9"/>
    <w:rsid w:val="003065E2"/>
    <w:rPr>
      <w:rFonts w:ascii="Times New Roman" w:eastAsiaTheme="majorEastAsia" w:hAnsi="Times New Roman" w:cs="Times New Roman"/>
      <w:b/>
      <w:bCs/>
      <w:color w:val="000000" w:themeColor="text1"/>
      <w:sz w:val="32"/>
      <w:szCs w:val="32"/>
    </w:rPr>
  </w:style>
  <w:style w:type="character" w:customStyle="1" w:styleId="Ttulo2Car">
    <w:name w:val="Título 2 Car"/>
    <w:basedOn w:val="Fuentedeprrafopredeter"/>
    <w:link w:val="Ttulo2"/>
    <w:uiPriority w:val="9"/>
    <w:semiHidden/>
    <w:rsid w:val="003065E2"/>
    <w:rPr>
      <w:rFonts w:ascii="Times New Roman" w:eastAsiaTheme="majorEastAsia" w:hAnsi="Times New Roman" w:cs="Times New Roman"/>
      <w:b/>
      <w:bCs/>
      <w:color w:val="000000" w:themeColor="text1"/>
      <w:sz w:val="28"/>
      <w:szCs w:val="28"/>
    </w:rPr>
  </w:style>
  <w:style w:type="paragraph" w:styleId="Prrafodelista">
    <w:name w:val="List Paragraph"/>
    <w:basedOn w:val="Normal"/>
    <w:uiPriority w:val="34"/>
    <w:qFormat/>
    <w:rsid w:val="003065E2"/>
    <w:pPr>
      <w:spacing w:after="0" w:line="480" w:lineRule="auto"/>
      <w:ind w:left="720"/>
      <w:contextualSpacing/>
      <w:jc w:val="both"/>
    </w:pPr>
    <w:rPr>
      <w:rFonts w:ascii="Times New Roman" w:hAnsi="Times New Roman" w:cs="Times New Roman"/>
      <w:sz w:val="24"/>
      <w:szCs w:val="24"/>
    </w:rPr>
  </w:style>
  <w:style w:type="character" w:customStyle="1" w:styleId="nombreParticipanteCar">
    <w:name w:val="nombreParticipante Car"/>
    <w:basedOn w:val="Fuentedeprrafopredeter"/>
    <w:link w:val="nombreParticipante"/>
    <w:locked/>
    <w:rsid w:val="003065E2"/>
    <w:rPr>
      <w:rFonts w:ascii="Times New Roman" w:hAnsi="Times New Roman" w:cs="Times New Roman"/>
      <w:b/>
      <w:sz w:val="24"/>
      <w:szCs w:val="24"/>
    </w:rPr>
  </w:style>
  <w:style w:type="paragraph" w:customStyle="1" w:styleId="nombreParticipante">
    <w:name w:val="nombreParticipante"/>
    <w:basedOn w:val="Normal"/>
    <w:link w:val="nombreParticipanteCar"/>
    <w:qFormat/>
    <w:rsid w:val="003065E2"/>
    <w:pPr>
      <w:spacing w:before="120" w:after="0" w:line="240" w:lineRule="auto"/>
      <w:jc w:val="center"/>
    </w:pPr>
    <w:rPr>
      <w:rFonts w:ascii="Times New Roman" w:hAnsi="Times New Roman" w:cs="Times New Roman"/>
      <w:b/>
      <w:sz w:val="24"/>
      <w:szCs w:val="24"/>
    </w:rPr>
  </w:style>
  <w:style w:type="character" w:customStyle="1" w:styleId="adscripcionParticipanteCar">
    <w:name w:val="adscripcionParticipante Car"/>
    <w:basedOn w:val="Fuentedeprrafopredeter"/>
    <w:link w:val="adscripcionParticipante"/>
    <w:locked/>
    <w:rsid w:val="003065E2"/>
    <w:rPr>
      <w:rFonts w:ascii="Times New Roman" w:hAnsi="Times New Roman" w:cs="Times New Roman"/>
      <w:i/>
      <w:sz w:val="24"/>
      <w:szCs w:val="24"/>
    </w:rPr>
  </w:style>
  <w:style w:type="paragraph" w:customStyle="1" w:styleId="adscripcionParticipante">
    <w:name w:val="adscripcionParticipante"/>
    <w:basedOn w:val="Normal"/>
    <w:link w:val="adscripcionParticipanteCar"/>
    <w:qFormat/>
    <w:rsid w:val="003065E2"/>
    <w:pPr>
      <w:spacing w:after="0" w:line="240" w:lineRule="auto"/>
      <w:jc w:val="center"/>
    </w:pPr>
    <w:rPr>
      <w:rFonts w:ascii="Times New Roman" w:hAnsi="Times New Roman" w:cs="Times New Roman"/>
      <w:i/>
      <w:sz w:val="24"/>
      <w:szCs w:val="24"/>
    </w:rPr>
  </w:style>
  <w:style w:type="character" w:customStyle="1" w:styleId="correoElectronicoParticipanteCar">
    <w:name w:val="correoElectronicoParticipante Car"/>
    <w:basedOn w:val="Fuentedeprrafopredeter"/>
    <w:link w:val="correoElectronicoParticipante"/>
    <w:locked/>
    <w:rsid w:val="003065E2"/>
    <w:rPr>
      <w:rFonts w:ascii="Times New Roman" w:hAnsi="Times New Roman" w:cs="Times New Roman"/>
      <w:sz w:val="24"/>
      <w:szCs w:val="24"/>
    </w:rPr>
  </w:style>
  <w:style w:type="paragraph" w:customStyle="1" w:styleId="correoElectronicoParticipante">
    <w:name w:val="correoElectronicoParticipante"/>
    <w:basedOn w:val="Normal"/>
    <w:link w:val="correoElectronicoParticipanteCar"/>
    <w:qFormat/>
    <w:rsid w:val="003065E2"/>
    <w:pPr>
      <w:spacing w:after="0" w:line="240" w:lineRule="auto"/>
      <w:jc w:val="center"/>
    </w:pPr>
    <w:rPr>
      <w:rFonts w:ascii="Times New Roman" w:hAnsi="Times New Roman" w:cs="Times New Roman"/>
      <w:sz w:val="24"/>
      <w:szCs w:val="24"/>
    </w:rPr>
  </w:style>
  <w:style w:type="character" w:customStyle="1" w:styleId="resumenCar">
    <w:name w:val="resumen Car"/>
    <w:basedOn w:val="Fuentedeprrafopredeter"/>
    <w:link w:val="resumen"/>
    <w:locked/>
    <w:rsid w:val="003065E2"/>
    <w:rPr>
      <w:rFonts w:ascii="Times New Roman" w:hAnsi="Times New Roman" w:cs="Times New Roman"/>
      <w:b/>
      <w:sz w:val="28"/>
      <w:szCs w:val="28"/>
    </w:rPr>
  </w:style>
  <w:style w:type="paragraph" w:customStyle="1" w:styleId="resumen">
    <w:name w:val="resumen"/>
    <w:basedOn w:val="Normal"/>
    <w:link w:val="resumenCar"/>
    <w:qFormat/>
    <w:rsid w:val="003065E2"/>
    <w:pPr>
      <w:spacing w:before="240" w:after="240" w:line="240" w:lineRule="auto"/>
      <w:jc w:val="center"/>
    </w:pPr>
    <w:rPr>
      <w:rFonts w:ascii="Times New Roman" w:hAnsi="Times New Roman" w:cs="Times New Roman"/>
      <w:b/>
      <w:sz w:val="28"/>
      <w:szCs w:val="28"/>
    </w:rPr>
  </w:style>
  <w:style w:type="character" w:customStyle="1" w:styleId="palabrasClaveCar">
    <w:name w:val="palabrasClave Car"/>
    <w:basedOn w:val="Fuentedeprrafopredeter"/>
    <w:link w:val="palabrasClave"/>
    <w:locked/>
    <w:rsid w:val="003065E2"/>
    <w:rPr>
      <w:rFonts w:ascii="Times New Roman" w:hAnsi="Times New Roman" w:cs="Times New Roman"/>
      <w:sz w:val="24"/>
      <w:szCs w:val="24"/>
    </w:rPr>
  </w:style>
  <w:style w:type="paragraph" w:customStyle="1" w:styleId="palabrasClave">
    <w:name w:val="palabrasClave"/>
    <w:basedOn w:val="Normal"/>
    <w:link w:val="palabrasClaveCar"/>
    <w:qFormat/>
    <w:rsid w:val="003065E2"/>
    <w:pPr>
      <w:spacing w:before="240" w:after="360" w:line="240" w:lineRule="auto"/>
      <w:jc w:val="center"/>
    </w:pPr>
    <w:rPr>
      <w:rFonts w:ascii="Times New Roman" w:hAnsi="Times New Roman" w:cs="Times New Roman"/>
      <w:sz w:val="24"/>
      <w:szCs w:val="24"/>
    </w:rPr>
  </w:style>
  <w:style w:type="character" w:customStyle="1" w:styleId="tematicaGeneralCar">
    <w:name w:val="tematicaGeneral Car"/>
    <w:basedOn w:val="Fuentedeprrafopredeter"/>
    <w:link w:val="tematicaGeneral"/>
    <w:locked/>
    <w:rsid w:val="003065E2"/>
    <w:rPr>
      <w:rFonts w:ascii="Times New Roman" w:hAnsi="Times New Roman" w:cs="Times New Roman"/>
      <w:sz w:val="24"/>
      <w:szCs w:val="24"/>
    </w:rPr>
  </w:style>
  <w:style w:type="paragraph" w:customStyle="1" w:styleId="tematicaGeneral">
    <w:name w:val="tematicaGeneral"/>
    <w:basedOn w:val="Normal"/>
    <w:link w:val="tematicaGeneralCar"/>
    <w:qFormat/>
    <w:rsid w:val="003065E2"/>
    <w:pPr>
      <w:spacing w:before="240" w:after="240" w:line="240" w:lineRule="auto"/>
      <w:jc w:val="center"/>
    </w:pPr>
    <w:rPr>
      <w:rFonts w:ascii="Times New Roman" w:hAnsi="Times New Roman" w:cs="Times New Roman"/>
      <w:sz w:val="24"/>
      <w:szCs w:val="24"/>
    </w:rPr>
  </w:style>
  <w:style w:type="character" w:customStyle="1" w:styleId="referenciaCar">
    <w:name w:val="referencia Car"/>
    <w:basedOn w:val="Fuentedeprrafopredeter"/>
    <w:link w:val="referencia"/>
    <w:locked/>
    <w:rsid w:val="003065E2"/>
    <w:rPr>
      <w:rFonts w:ascii="Times New Roman" w:hAnsi="Times New Roman" w:cs="Times New Roman"/>
      <w:sz w:val="24"/>
      <w:szCs w:val="24"/>
    </w:rPr>
  </w:style>
  <w:style w:type="paragraph" w:customStyle="1" w:styleId="referencia">
    <w:name w:val="referencia"/>
    <w:basedOn w:val="Normal"/>
    <w:link w:val="referenciaCar"/>
    <w:qFormat/>
    <w:rsid w:val="003065E2"/>
    <w:pPr>
      <w:spacing w:after="240" w:line="240" w:lineRule="auto"/>
      <w:ind w:left="567" w:hanging="567"/>
    </w:pPr>
    <w:rPr>
      <w:rFonts w:ascii="Times New Roman" w:hAnsi="Times New Roman" w:cs="Times New Roman"/>
      <w:sz w:val="24"/>
      <w:szCs w:val="24"/>
    </w:rPr>
  </w:style>
  <w:style w:type="character" w:customStyle="1" w:styleId="tipoPonenciaCar">
    <w:name w:val="tipoPonencia Car"/>
    <w:basedOn w:val="Fuentedeprrafopredeter"/>
    <w:link w:val="tipoPonencia"/>
    <w:locked/>
    <w:rsid w:val="003065E2"/>
    <w:rPr>
      <w:rFonts w:ascii="Times New Roman" w:hAnsi="Times New Roman" w:cs="Times New Roman"/>
      <w:b/>
      <w:sz w:val="24"/>
      <w:szCs w:val="24"/>
    </w:rPr>
  </w:style>
  <w:style w:type="paragraph" w:customStyle="1" w:styleId="tipoPonencia">
    <w:name w:val="tipoPonencia"/>
    <w:basedOn w:val="Normal"/>
    <w:link w:val="tipoPonenciaCar"/>
    <w:qFormat/>
    <w:rsid w:val="003065E2"/>
    <w:pPr>
      <w:spacing w:before="240" w:after="360" w:line="240" w:lineRule="auto"/>
      <w:jc w:val="center"/>
    </w:pPr>
    <w:rPr>
      <w:rFonts w:ascii="Times New Roman" w:hAnsi="Times New Roman" w:cs="Times New Roman"/>
      <w:b/>
      <w:sz w:val="24"/>
      <w:szCs w:val="24"/>
    </w:rPr>
  </w:style>
  <w:style w:type="table" w:styleId="Tablaconcuadrcula">
    <w:name w:val="Table Grid"/>
    <w:basedOn w:val="Tablanormal"/>
    <w:uiPriority w:val="59"/>
    <w:rsid w:val="003065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5E2"/>
    <w:pPr>
      <w:autoSpaceDE w:val="0"/>
      <w:autoSpaceDN w:val="0"/>
      <w:adjustRightInd w:val="0"/>
      <w:spacing w:after="0" w:line="240" w:lineRule="auto"/>
    </w:pPr>
    <w:rPr>
      <w:rFonts w:ascii="Calibri" w:eastAsia="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876623">
      <w:bodyDiv w:val="1"/>
      <w:marLeft w:val="0"/>
      <w:marRight w:val="0"/>
      <w:marTop w:val="0"/>
      <w:marBottom w:val="0"/>
      <w:divBdr>
        <w:top w:val="none" w:sz="0" w:space="0" w:color="auto"/>
        <w:left w:val="none" w:sz="0" w:space="0" w:color="auto"/>
        <w:bottom w:val="none" w:sz="0" w:space="0" w:color="auto"/>
        <w:right w:val="none" w:sz="0" w:space="0" w:color="auto"/>
      </w:divBdr>
      <w:divsChild>
        <w:div w:id="150870817">
          <w:marLeft w:val="0"/>
          <w:marRight w:val="0"/>
          <w:marTop w:val="0"/>
          <w:marBottom w:val="0"/>
          <w:divBdr>
            <w:top w:val="none" w:sz="0" w:space="0" w:color="auto"/>
            <w:left w:val="none" w:sz="0" w:space="0" w:color="auto"/>
            <w:bottom w:val="none" w:sz="0" w:space="0" w:color="auto"/>
            <w:right w:val="none" w:sz="0" w:space="0" w:color="auto"/>
          </w:divBdr>
          <w:divsChild>
            <w:div w:id="274095644">
              <w:marLeft w:val="0"/>
              <w:marRight w:val="0"/>
              <w:marTop w:val="0"/>
              <w:marBottom w:val="0"/>
              <w:divBdr>
                <w:top w:val="none" w:sz="0" w:space="0" w:color="auto"/>
                <w:left w:val="none" w:sz="0" w:space="0" w:color="auto"/>
                <w:bottom w:val="none" w:sz="0" w:space="0" w:color="auto"/>
                <w:right w:val="none" w:sz="0" w:space="0" w:color="auto"/>
              </w:divBdr>
              <w:divsChild>
                <w:div w:id="151994861">
                  <w:marLeft w:val="0"/>
                  <w:marRight w:val="0"/>
                  <w:marTop w:val="0"/>
                  <w:marBottom w:val="480"/>
                  <w:divBdr>
                    <w:top w:val="none" w:sz="0" w:space="0" w:color="auto"/>
                    <w:left w:val="none" w:sz="0" w:space="0" w:color="auto"/>
                    <w:bottom w:val="none" w:sz="0" w:space="0" w:color="auto"/>
                    <w:right w:val="none" w:sz="0" w:space="0" w:color="auto"/>
                  </w:divBdr>
                </w:div>
                <w:div w:id="2067797718">
                  <w:marLeft w:val="0"/>
                  <w:marRight w:val="0"/>
                  <w:marTop w:val="0"/>
                  <w:marBottom w:val="0"/>
                  <w:divBdr>
                    <w:top w:val="none" w:sz="0" w:space="0" w:color="auto"/>
                    <w:left w:val="none" w:sz="0" w:space="0" w:color="auto"/>
                    <w:bottom w:val="none" w:sz="0" w:space="0" w:color="auto"/>
                    <w:right w:val="none" w:sz="0" w:space="0" w:color="auto"/>
                  </w:divBdr>
                  <w:divsChild>
                    <w:div w:id="416177215">
                      <w:marLeft w:val="0"/>
                      <w:marRight w:val="0"/>
                      <w:marTop w:val="0"/>
                      <w:marBottom w:val="0"/>
                      <w:divBdr>
                        <w:top w:val="none" w:sz="0" w:space="0" w:color="auto"/>
                        <w:left w:val="none" w:sz="0" w:space="0" w:color="auto"/>
                        <w:bottom w:val="none" w:sz="0" w:space="0" w:color="auto"/>
                        <w:right w:val="none" w:sz="0" w:space="0" w:color="auto"/>
                      </w:divBdr>
                      <w:divsChild>
                        <w:div w:id="2007241036">
                          <w:marLeft w:val="0"/>
                          <w:marRight w:val="0"/>
                          <w:marTop w:val="0"/>
                          <w:marBottom w:val="0"/>
                          <w:divBdr>
                            <w:top w:val="none" w:sz="0" w:space="0" w:color="auto"/>
                            <w:left w:val="none" w:sz="0" w:space="0" w:color="auto"/>
                            <w:bottom w:val="none" w:sz="0" w:space="0" w:color="auto"/>
                            <w:right w:val="none" w:sz="0" w:space="0" w:color="auto"/>
                          </w:divBdr>
                          <w:divsChild>
                            <w:div w:id="1368409733">
                              <w:marLeft w:val="0"/>
                              <w:marRight w:val="0"/>
                              <w:marTop w:val="0"/>
                              <w:marBottom w:val="0"/>
                              <w:divBdr>
                                <w:top w:val="none" w:sz="0" w:space="0" w:color="auto"/>
                                <w:left w:val="none" w:sz="0" w:space="0" w:color="auto"/>
                                <w:bottom w:val="none" w:sz="0" w:space="0" w:color="auto"/>
                                <w:right w:val="none" w:sz="0" w:space="0" w:color="auto"/>
                              </w:divBdr>
                              <w:divsChild>
                                <w:div w:id="13282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607087">
          <w:marLeft w:val="0"/>
          <w:marRight w:val="0"/>
          <w:marTop w:val="0"/>
          <w:marBottom w:val="0"/>
          <w:divBdr>
            <w:top w:val="none" w:sz="0" w:space="0" w:color="auto"/>
            <w:left w:val="none" w:sz="0" w:space="0" w:color="auto"/>
            <w:bottom w:val="none" w:sz="0" w:space="0" w:color="auto"/>
            <w:right w:val="none" w:sz="0" w:space="0" w:color="auto"/>
          </w:divBdr>
          <w:divsChild>
            <w:div w:id="1399133802">
              <w:marLeft w:val="0"/>
              <w:marRight w:val="0"/>
              <w:marTop w:val="0"/>
              <w:marBottom w:val="0"/>
              <w:divBdr>
                <w:top w:val="none" w:sz="0" w:space="0" w:color="auto"/>
                <w:left w:val="none" w:sz="0" w:space="0" w:color="auto"/>
                <w:bottom w:val="none" w:sz="0" w:space="0" w:color="auto"/>
                <w:right w:val="none" w:sz="0" w:space="0" w:color="auto"/>
              </w:divBdr>
              <w:divsChild>
                <w:div w:id="12480306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211131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lmavilla@hot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6BFCE-6F8A-45E2-87C5-F809FA0A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3065</Words>
  <Characters>16863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miranda</dc:creator>
  <cp:keywords/>
  <dc:description/>
  <cp:lastModifiedBy>dr miranda</cp:lastModifiedBy>
  <cp:revision>2</cp:revision>
  <dcterms:created xsi:type="dcterms:W3CDTF">2016-01-30T21:47:00Z</dcterms:created>
  <dcterms:modified xsi:type="dcterms:W3CDTF">2016-01-30T21:47:00Z</dcterms:modified>
</cp:coreProperties>
</file>