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081" w:rsidRDefault="00355081" w:rsidP="00355081">
      <w:pPr>
        <w:spacing w:after="0" w:line="240" w:lineRule="auto"/>
        <w:jc w:val="center"/>
        <w:rPr>
          <w:sz w:val="28"/>
          <w:szCs w:val="28"/>
        </w:rPr>
      </w:pPr>
      <w:r>
        <w:rPr>
          <w:b/>
          <w:sz w:val="28"/>
          <w:szCs w:val="28"/>
        </w:rPr>
        <w:t xml:space="preserve">Ponencia: </w:t>
      </w:r>
      <w:r w:rsidRPr="000E236F">
        <w:rPr>
          <w:sz w:val="28"/>
          <w:szCs w:val="28"/>
        </w:rPr>
        <w:t xml:space="preserve"> </w:t>
      </w:r>
    </w:p>
    <w:p w:rsidR="00355081" w:rsidRPr="004A226A" w:rsidRDefault="00355081" w:rsidP="00355081">
      <w:pPr>
        <w:spacing w:after="0" w:line="240" w:lineRule="auto"/>
        <w:jc w:val="center"/>
        <w:rPr>
          <w:rFonts w:ascii="Arial" w:hAnsi="Arial" w:cs="Arial"/>
          <w:b/>
          <w:sz w:val="28"/>
          <w:szCs w:val="28"/>
        </w:rPr>
      </w:pPr>
      <w:r w:rsidRPr="004A226A">
        <w:rPr>
          <w:rFonts w:ascii="Arial" w:hAnsi="Arial" w:cs="Arial"/>
          <w:b/>
          <w:sz w:val="28"/>
          <w:szCs w:val="28"/>
        </w:rPr>
        <w:t>El desarrollo académico de una</w:t>
      </w:r>
    </w:p>
    <w:p w:rsidR="00355081" w:rsidRPr="004A226A" w:rsidRDefault="00355081" w:rsidP="00355081">
      <w:pPr>
        <w:spacing w:after="0" w:line="240" w:lineRule="auto"/>
        <w:jc w:val="center"/>
        <w:rPr>
          <w:rFonts w:ascii="Arial" w:hAnsi="Arial" w:cs="Arial"/>
          <w:b/>
          <w:sz w:val="28"/>
          <w:szCs w:val="28"/>
        </w:rPr>
      </w:pPr>
      <w:r w:rsidRPr="004A226A">
        <w:rPr>
          <w:rFonts w:ascii="Arial" w:hAnsi="Arial" w:cs="Arial"/>
          <w:b/>
          <w:sz w:val="28"/>
          <w:szCs w:val="28"/>
        </w:rPr>
        <w:t xml:space="preserve"> Escuela Normal como i</w:t>
      </w:r>
      <w:r w:rsidR="00FA3E48" w:rsidRPr="004A226A">
        <w:rPr>
          <w:rFonts w:ascii="Arial" w:hAnsi="Arial" w:cs="Arial"/>
          <w:b/>
          <w:sz w:val="28"/>
          <w:szCs w:val="28"/>
        </w:rPr>
        <w:t xml:space="preserve">nstitución de Educación Superior: el trabajo de campo. </w:t>
      </w:r>
    </w:p>
    <w:p w:rsidR="00355081" w:rsidRDefault="00355081" w:rsidP="00355081">
      <w:pPr>
        <w:spacing w:after="0" w:line="240" w:lineRule="auto"/>
        <w:rPr>
          <w:sz w:val="28"/>
          <w:szCs w:val="28"/>
        </w:rPr>
      </w:pPr>
    </w:p>
    <w:p w:rsidR="00355081" w:rsidRPr="000E236F" w:rsidRDefault="00355081" w:rsidP="00355081">
      <w:pPr>
        <w:spacing w:after="0" w:line="240" w:lineRule="auto"/>
        <w:jc w:val="center"/>
        <w:rPr>
          <w:sz w:val="28"/>
          <w:szCs w:val="28"/>
        </w:rPr>
      </w:pPr>
    </w:p>
    <w:p w:rsidR="00355081" w:rsidRPr="000E236F" w:rsidRDefault="00355081" w:rsidP="00355081">
      <w:pPr>
        <w:spacing w:after="0" w:line="240" w:lineRule="auto"/>
        <w:jc w:val="right"/>
        <w:rPr>
          <w:rFonts w:ascii="Arial" w:hAnsi="Arial" w:cs="Arial"/>
          <w:sz w:val="20"/>
          <w:szCs w:val="20"/>
        </w:rPr>
      </w:pPr>
      <w:r w:rsidRPr="000E236F">
        <w:rPr>
          <w:rFonts w:ascii="Arial" w:hAnsi="Arial" w:cs="Arial"/>
          <w:sz w:val="20"/>
          <w:szCs w:val="20"/>
        </w:rPr>
        <w:t xml:space="preserve">Doctorante: </w:t>
      </w:r>
    </w:p>
    <w:p w:rsidR="00355081" w:rsidRDefault="00355081" w:rsidP="00355081">
      <w:pPr>
        <w:spacing w:after="0" w:line="240" w:lineRule="auto"/>
        <w:jc w:val="right"/>
        <w:rPr>
          <w:rFonts w:ascii="Arial" w:hAnsi="Arial" w:cs="Arial"/>
          <w:b/>
          <w:i/>
          <w:sz w:val="20"/>
          <w:szCs w:val="20"/>
        </w:rPr>
      </w:pPr>
      <w:bookmarkStart w:id="0" w:name="_GoBack"/>
      <w:r w:rsidRPr="000E236F">
        <w:rPr>
          <w:rFonts w:ascii="Arial" w:hAnsi="Arial" w:cs="Arial"/>
          <w:b/>
          <w:i/>
          <w:sz w:val="20"/>
          <w:szCs w:val="20"/>
        </w:rPr>
        <w:t xml:space="preserve">Lina </w:t>
      </w:r>
      <w:r w:rsidR="00DE67E7" w:rsidRPr="000E236F">
        <w:rPr>
          <w:rFonts w:ascii="Arial" w:hAnsi="Arial" w:cs="Arial"/>
          <w:b/>
          <w:i/>
          <w:sz w:val="20"/>
          <w:szCs w:val="20"/>
        </w:rPr>
        <w:t>Xóchitl</w:t>
      </w:r>
      <w:r w:rsidRPr="000E236F">
        <w:rPr>
          <w:rFonts w:ascii="Arial" w:hAnsi="Arial" w:cs="Arial"/>
          <w:b/>
          <w:i/>
          <w:sz w:val="20"/>
          <w:szCs w:val="20"/>
        </w:rPr>
        <w:t xml:space="preserve"> García Sánchez</w:t>
      </w:r>
    </w:p>
    <w:bookmarkEnd w:id="0"/>
    <w:p w:rsidR="004A226A" w:rsidRDefault="004A226A" w:rsidP="00355081">
      <w:pPr>
        <w:spacing w:after="0" w:line="240" w:lineRule="auto"/>
        <w:jc w:val="right"/>
        <w:rPr>
          <w:rFonts w:ascii="Arial" w:hAnsi="Arial" w:cs="Arial"/>
          <w:b/>
          <w:i/>
          <w:sz w:val="20"/>
          <w:szCs w:val="20"/>
        </w:rPr>
      </w:pPr>
      <w:r>
        <w:rPr>
          <w:rFonts w:ascii="Arial" w:hAnsi="Arial" w:cs="Arial"/>
          <w:b/>
          <w:i/>
          <w:sz w:val="20"/>
          <w:szCs w:val="20"/>
        </w:rPr>
        <w:t>Instituto Superior de Ciencias de la Educación</w:t>
      </w:r>
    </w:p>
    <w:p w:rsidR="004A226A" w:rsidRDefault="004A226A" w:rsidP="00355081">
      <w:pPr>
        <w:spacing w:after="0" w:line="240" w:lineRule="auto"/>
        <w:jc w:val="right"/>
        <w:rPr>
          <w:rFonts w:ascii="Arial" w:hAnsi="Arial" w:cs="Arial"/>
          <w:b/>
          <w:i/>
          <w:sz w:val="20"/>
          <w:szCs w:val="20"/>
        </w:rPr>
      </w:pPr>
      <w:r>
        <w:rPr>
          <w:rFonts w:ascii="Arial" w:hAnsi="Arial" w:cs="Arial"/>
          <w:b/>
          <w:i/>
          <w:sz w:val="20"/>
          <w:szCs w:val="20"/>
        </w:rPr>
        <w:t>Del Estado de México.</w:t>
      </w:r>
    </w:p>
    <w:p w:rsidR="00355081" w:rsidRDefault="00355081" w:rsidP="00355081">
      <w:pPr>
        <w:spacing w:after="0" w:line="240" w:lineRule="auto"/>
        <w:jc w:val="right"/>
        <w:rPr>
          <w:rFonts w:ascii="Arial" w:hAnsi="Arial" w:cs="Arial"/>
          <w:b/>
          <w:i/>
          <w:sz w:val="20"/>
          <w:szCs w:val="20"/>
        </w:rPr>
      </w:pPr>
    </w:p>
    <w:p w:rsidR="00355081" w:rsidRDefault="00355081" w:rsidP="00355081">
      <w:pPr>
        <w:spacing w:after="0" w:line="240" w:lineRule="auto"/>
        <w:jc w:val="right"/>
        <w:rPr>
          <w:rFonts w:ascii="Arial" w:hAnsi="Arial" w:cs="Arial"/>
          <w:b/>
          <w:i/>
          <w:sz w:val="20"/>
          <w:szCs w:val="20"/>
        </w:rPr>
      </w:pPr>
    </w:p>
    <w:p w:rsidR="00355081" w:rsidRDefault="00355081" w:rsidP="00355081">
      <w:pPr>
        <w:spacing w:after="0" w:line="240" w:lineRule="auto"/>
        <w:jc w:val="right"/>
        <w:rPr>
          <w:rFonts w:ascii="Arial" w:hAnsi="Arial" w:cs="Arial"/>
          <w:b/>
          <w:i/>
          <w:sz w:val="20"/>
          <w:szCs w:val="20"/>
        </w:rPr>
      </w:pPr>
    </w:p>
    <w:p w:rsidR="00FF7776" w:rsidRDefault="00FF7776" w:rsidP="00857117">
      <w:pPr>
        <w:spacing w:line="360" w:lineRule="auto"/>
        <w:jc w:val="both"/>
        <w:rPr>
          <w:rFonts w:ascii="Arial" w:hAnsi="Arial" w:cs="Arial"/>
          <w:b/>
          <w:sz w:val="24"/>
          <w:szCs w:val="24"/>
        </w:rPr>
      </w:pPr>
    </w:p>
    <w:p w:rsidR="00FF7776" w:rsidRDefault="00FF7776" w:rsidP="00857117">
      <w:pPr>
        <w:spacing w:line="360" w:lineRule="auto"/>
        <w:jc w:val="both"/>
        <w:rPr>
          <w:rFonts w:ascii="Arial" w:hAnsi="Arial" w:cs="Arial"/>
          <w:b/>
          <w:sz w:val="24"/>
          <w:szCs w:val="24"/>
        </w:rPr>
      </w:pPr>
    </w:p>
    <w:p w:rsidR="00B83E94" w:rsidRDefault="00B83E94" w:rsidP="00857117">
      <w:pPr>
        <w:spacing w:line="360" w:lineRule="auto"/>
        <w:jc w:val="both"/>
        <w:rPr>
          <w:rFonts w:ascii="Arial" w:hAnsi="Arial" w:cs="Arial"/>
          <w:b/>
          <w:sz w:val="24"/>
          <w:szCs w:val="24"/>
        </w:rPr>
      </w:pPr>
      <w:r>
        <w:rPr>
          <w:rFonts w:ascii="Arial" w:hAnsi="Arial" w:cs="Arial"/>
          <w:b/>
          <w:sz w:val="24"/>
          <w:szCs w:val="24"/>
        </w:rPr>
        <w:t>Resumen</w:t>
      </w:r>
    </w:p>
    <w:p w:rsidR="00FF7776" w:rsidRDefault="00FE2E77" w:rsidP="001E28CB">
      <w:pPr>
        <w:spacing w:line="480" w:lineRule="auto"/>
        <w:jc w:val="both"/>
        <w:rPr>
          <w:rFonts w:ascii="Arial" w:hAnsi="Arial" w:cs="Arial"/>
          <w:sz w:val="24"/>
          <w:szCs w:val="24"/>
        </w:rPr>
      </w:pPr>
      <w:r>
        <w:rPr>
          <w:rFonts w:ascii="Arial" w:hAnsi="Arial" w:cs="Arial"/>
          <w:sz w:val="24"/>
          <w:szCs w:val="24"/>
        </w:rPr>
        <w:t xml:space="preserve">En la presente  ponencia se expone </w:t>
      </w:r>
      <w:r w:rsidRPr="0054252E">
        <w:rPr>
          <w:rFonts w:ascii="Arial" w:hAnsi="Arial" w:cs="Arial"/>
          <w:sz w:val="24"/>
          <w:szCs w:val="24"/>
        </w:rPr>
        <w:t xml:space="preserve">un  </w:t>
      </w:r>
      <w:r>
        <w:rPr>
          <w:rFonts w:ascii="Arial" w:hAnsi="Arial" w:cs="Arial"/>
          <w:sz w:val="24"/>
          <w:szCs w:val="24"/>
        </w:rPr>
        <w:t>avance del trabajo  de campo  realizado en  la investigación titulada: El desarrollo académico de una escuela normal como  institución de educación superior.  La investigación está orientada desde  la  pregunta  ¿cómo el  desarrollo académico de la escuela normal de Tecámac la configura como una institución de educación superior?  Cuyo  objetiv</w:t>
      </w:r>
      <w:r w:rsidR="00FF7776">
        <w:rPr>
          <w:rFonts w:ascii="Arial" w:hAnsi="Arial" w:cs="Arial"/>
          <w:sz w:val="24"/>
          <w:szCs w:val="24"/>
        </w:rPr>
        <w:t xml:space="preserve">o general es  comprender como su desarrollo </w:t>
      </w:r>
      <w:r>
        <w:rPr>
          <w:rFonts w:ascii="Arial" w:hAnsi="Arial" w:cs="Arial"/>
          <w:sz w:val="24"/>
          <w:szCs w:val="24"/>
        </w:rPr>
        <w:t xml:space="preserve"> la configura como una institución de educación superior</w:t>
      </w:r>
      <w:r w:rsidR="00FF7776">
        <w:rPr>
          <w:rFonts w:ascii="Arial" w:hAnsi="Arial" w:cs="Arial"/>
          <w:sz w:val="24"/>
          <w:szCs w:val="24"/>
        </w:rPr>
        <w:t xml:space="preserve">  en el marco de la  sociedad del conocimiento. </w:t>
      </w:r>
      <w:r>
        <w:rPr>
          <w:rFonts w:ascii="Arial" w:hAnsi="Arial" w:cs="Arial"/>
          <w:sz w:val="24"/>
          <w:szCs w:val="24"/>
        </w:rPr>
        <w:t xml:space="preserve">  Se hace énfasis en la  metodología desarrollada  durante el  </w:t>
      </w:r>
      <w:r w:rsidR="00FF7776">
        <w:rPr>
          <w:rFonts w:ascii="Arial" w:hAnsi="Arial" w:cs="Arial"/>
          <w:sz w:val="24"/>
          <w:szCs w:val="24"/>
        </w:rPr>
        <w:t xml:space="preserve"> trabajo de campo y algunos de los primeros  hallazgos obtenidos.</w:t>
      </w:r>
      <w:r>
        <w:rPr>
          <w:rFonts w:ascii="Arial" w:hAnsi="Arial" w:cs="Arial"/>
          <w:sz w:val="24"/>
          <w:szCs w:val="24"/>
        </w:rPr>
        <w:t xml:space="preserve"> </w:t>
      </w:r>
    </w:p>
    <w:p w:rsidR="00FF7776" w:rsidRPr="00B83E94" w:rsidRDefault="00FF7776" w:rsidP="00857117">
      <w:pPr>
        <w:spacing w:line="360" w:lineRule="auto"/>
        <w:jc w:val="both"/>
        <w:rPr>
          <w:rFonts w:ascii="Arial" w:hAnsi="Arial" w:cs="Arial"/>
          <w:sz w:val="24"/>
          <w:szCs w:val="24"/>
        </w:rPr>
      </w:pPr>
    </w:p>
    <w:p w:rsidR="00B83E94" w:rsidRPr="00B83E94" w:rsidRDefault="00B83E94" w:rsidP="00857117">
      <w:pPr>
        <w:spacing w:line="360" w:lineRule="auto"/>
        <w:jc w:val="both"/>
        <w:rPr>
          <w:rFonts w:ascii="Arial" w:hAnsi="Arial" w:cs="Arial"/>
          <w:sz w:val="24"/>
          <w:szCs w:val="24"/>
        </w:rPr>
      </w:pPr>
      <w:r>
        <w:rPr>
          <w:rFonts w:ascii="Arial" w:hAnsi="Arial" w:cs="Arial"/>
          <w:b/>
          <w:sz w:val="24"/>
          <w:szCs w:val="24"/>
        </w:rPr>
        <w:t xml:space="preserve">Palabras clave: </w:t>
      </w:r>
      <w:r w:rsidRPr="00B83E94">
        <w:rPr>
          <w:rFonts w:ascii="Arial" w:hAnsi="Arial" w:cs="Arial"/>
          <w:sz w:val="24"/>
          <w:szCs w:val="24"/>
        </w:rPr>
        <w:t>planeación estratégica, desarrollo académico, institución de educación superior y sociedad del conocimiento.</w:t>
      </w:r>
    </w:p>
    <w:p w:rsidR="001E28CB" w:rsidRDefault="001E28CB" w:rsidP="00857117">
      <w:pPr>
        <w:spacing w:line="360" w:lineRule="auto"/>
        <w:jc w:val="both"/>
        <w:rPr>
          <w:rFonts w:ascii="Arial" w:hAnsi="Arial" w:cs="Arial"/>
          <w:b/>
          <w:sz w:val="24"/>
          <w:szCs w:val="24"/>
        </w:rPr>
      </w:pPr>
    </w:p>
    <w:p w:rsidR="00B83E94" w:rsidRDefault="00FF7776" w:rsidP="00857117">
      <w:pPr>
        <w:spacing w:line="360" w:lineRule="auto"/>
        <w:jc w:val="both"/>
        <w:rPr>
          <w:rFonts w:ascii="Arial" w:hAnsi="Arial" w:cs="Arial"/>
          <w:b/>
          <w:sz w:val="24"/>
          <w:szCs w:val="24"/>
        </w:rPr>
      </w:pPr>
      <w:r>
        <w:rPr>
          <w:rFonts w:ascii="Arial" w:hAnsi="Arial" w:cs="Arial"/>
          <w:b/>
          <w:sz w:val="24"/>
          <w:szCs w:val="24"/>
        </w:rPr>
        <w:lastRenderedPageBreak/>
        <w:t>Introducción</w:t>
      </w:r>
    </w:p>
    <w:p w:rsidR="005270F0" w:rsidRDefault="005270F0" w:rsidP="005270F0">
      <w:pPr>
        <w:spacing w:line="480" w:lineRule="auto"/>
        <w:jc w:val="both"/>
        <w:rPr>
          <w:rFonts w:ascii="Arial" w:hAnsi="Arial" w:cs="Arial"/>
          <w:sz w:val="24"/>
          <w:szCs w:val="24"/>
        </w:rPr>
      </w:pPr>
      <w:r>
        <w:rPr>
          <w:rFonts w:ascii="Arial" w:hAnsi="Arial" w:cs="Arial"/>
          <w:sz w:val="24"/>
          <w:szCs w:val="24"/>
        </w:rPr>
        <w:t xml:space="preserve">La escuela normal como institución de educación superior es un organismo gubernamental (Arellano, 2013) donde la educación superior desde la Asociación Nacional de Universidades e instituciones de educación superior, es el nivel con el que culmina el Sistema Educativo Mexicano, y que es cualitativamente diferente a los niveles educativos  que le preceden siendo  también  aún más compleja.    </w:t>
      </w:r>
    </w:p>
    <w:p w:rsidR="005270F0" w:rsidRDefault="005270F0" w:rsidP="005270F0">
      <w:pPr>
        <w:spacing w:line="480" w:lineRule="auto"/>
        <w:jc w:val="both"/>
        <w:rPr>
          <w:rFonts w:ascii="Arial" w:hAnsi="Arial" w:cs="Arial"/>
          <w:sz w:val="24"/>
          <w:szCs w:val="24"/>
        </w:rPr>
      </w:pPr>
      <w:r>
        <w:rPr>
          <w:rFonts w:ascii="Arial" w:hAnsi="Arial" w:cs="Arial"/>
          <w:sz w:val="24"/>
          <w:szCs w:val="24"/>
        </w:rPr>
        <w:t xml:space="preserve">El desarrollo académico  </w:t>
      </w:r>
      <w:r w:rsidRPr="0054252E">
        <w:rPr>
          <w:rFonts w:ascii="Arial" w:hAnsi="Arial" w:cs="Arial"/>
          <w:sz w:val="24"/>
          <w:szCs w:val="24"/>
        </w:rPr>
        <w:t>como  un proceso evolutivo y de transformación  que pasa a través de estados s</w:t>
      </w:r>
      <w:r>
        <w:rPr>
          <w:rFonts w:ascii="Arial" w:hAnsi="Arial" w:cs="Arial"/>
          <w:sz w:val="24"/>
          <w:szCs w:val="24"/>
        </w:rPr>
        <w:t>ucesivos de perfeccionamiento asociado al</w:t>
      </w:r>
      <w:r w:rsidRPr="0054252E">
        <w:rPr>
          <w:rFonts w:ascii="Arial" w:hAnsi="Arial" w:cs="Arial"/>
          <w:sz w:val="24"/>
          <w:szCs w:val="24"/>
        </w:rPr>
        <w:t xml:space="preserve"> desarrollo profesion</w:t>
      </w:r>
      <w:r>
        <w:rPr>
          <w:rFonts w:ascii="Arial" w:hAnsi="Arial" w:cs="Arial"/>
          <w:sz w:val="24"/>
          <w:szCs w:val="24"/>
        </w:rPr>
        <w:t xml:space="preserve">al de sus actores educativos, la investigación educativa, la producción editorial y </w:t>
      </w:r>
      <w:r w:rsidRPr="0054252E">
        <w:rPr>
          <w:rFonts w:ascii="Arial" w:hAnsi="Arial" w:cs="Arial"/>
          <w:sz w:val="24"/>
          <w:szCs w:val="24"/>
        </w:rPr>
        <w:t xml:space="preserve"> la   flexibilidad  académica, curricular y administrativa</w:t>
      </w:r>
      <w:r>
        <w:rPr>
          <w:rFonts w:ascii="Arial" w:hAnsi="Arial" w:cs="Arial"/>
          <w:sz w:val="24"/>
          <w:szCs w:val="24"/>
        </w:rPr>
        <w:t xml:space="preserve">, </w:t>
      </w:r>
      <w:r w:rsidRPr="0054252E">
        <w:rPr>
          <w:rFonts w:ascii="Arial" w:hAnsi="Arial" w:cs="Arial"/>
          <w:sz w:val="24"/>
          <w:szCs w:val="24"/>
        </w:rPr>
        <w:t xml:space="preserve"> que como Institución de Educación Superior se  haya construido históricamente, en  su naturaleza y finalidades sociales atribuidas.</w:t>
      </w:r>
    </w:p>
    <w:p w:rsidR="00B83E94" w:rsidRDefault="005270F0" w:rsidP="005270F0">
      <w:pPr>
        <w:spacing w:line="480" w:lineRule="auto"/>
        <w:jc w:val="both"/>
        <w:rPr>
          <w:rFonts w:ascii="Arial" w:hAnsi="Arial" w:cs="Arial"/>
          <w:sz w:val="24"/>
          <w:szCs w:val="24"/>
        </w:rPr>
      </w:pPr>
      <w:r w:rsidRPr="0054252E">
        <w:rPr>
          <w:rFonts w:ascii="Arial" w:hAnsi="Arial" w:cs="Arial"/>
          <w:sz w:val="24"/>
          <w:szCs w:val="24"/>
        </w:rPr>
        <w:t xml:space="preserve">Ahora en esta  ponencia  se presenta un  </w:t>
      </w:r>
      <w:r>
        <w:rPr>
          <w:rFonts w:ascii="Arial" w:hAnsi="Arial" w:cs="Arial"/>
          <w:sz w:val="24"/>
          <w:szCs w:val="24"/>
        </w:rPr>
        <w:t>avance de la investigación, desde la metodología desarrollada  durante el   trabajo de campo realizado</w:t>
      </w:r>
      <w:r w:rsidRPr="0054252E">
        <w:rPr>
          <w:rFonts w:ascii="Arial" w:hAnsi="Arial" w:cs="Arial"/>
          <w:sz w:val="24"/>
          <w:szCs w:val="24"/>
        </w:rPr>
        <w:t xml:space="preserve">. </w:t>
      </w:r>
      <w:r>
        <w:rPr>
          <w:rFonts w:ascii="Arial" w:hAnsi="Arial" w:cs="Arial"/>
          <w:sz w:val="24"/>
          <w:szCs w:val="24"/>
        </w:rPr>
        <w:t xml:space="preserve">Para su  mejor organización se presenta primeramente el proceso  metodológico  empleado  para la  recuperación de la información y su tratamiento para  después hacer mención de algunas primicias de  los hallazgos  encontrados. </w:t>
      </w:r>
    </w:p>
    <w:p w:rsidR="005270F0" w:rsidRPr="005270F0" w:rsidRDefault="005270F0" w:rsidP="005270F0">
      <w:pPr>
        <w:spacing w:line="480" w:lineRule="auto"/>
        <w:jc w:val="both"/>
        <w:rPr>
          <w:rFonts w:ascii="Arial" w:hAnsi="Arial" w:cs="Arial"/>
          <w:sz w:val="24"/>
          <w:szCs w:val="24"/>
        </w:rPr>
      </w:pPr>
    </w:p>
    <w:p w:rsidR="0074559B" w:rsidRPr="00F628E1" w:rsidRDefault="0074559B" w:rsidP="004A226A">
      <w:pPr>
        <w:pStyle w:val="Prrafodelista"/>
        <w:numPr>
          <w:ilvl w:val="0"/>
          <w:numId w:val="3"/>
        </w:numPr>
        <w:spacing w:line="480" w:lineRule="auto"/>
        <w:jc w:val="both"/>
        <w:rPr>
          <w:rFonts w:ascii="Arial" w:hAnsi="Arial" w:cs="Arial"/>
          <w:b/>
          <w:sz w:val="24"/>
          <w:szCs w:val="24"/>
        </w:rPr>
      </w:pPr>
      <w:r w:rsidRPr="00F628E1">
        <w:rPr>
          <w:rFonts w:ascii="Arial" w:hAnsi="Arial" w:cs="Arial"/>
          <w:b/>
          <w:sz w:val="24"/>
          <w:szCs w:val="24"/>
        </w:rPr>
        <w:t xml:space="preserve">El proceso metodológico del trabajo de campo </w:t>
      </w:r>
    </w:p>
    <w:p w:rsidR="0074559B" w:rsidRPr="0074559B" w:rsidRDefault="0074559B" w:rsidP="004A226A">
      <w:pPr>
        <w:spacing w:line="480" w:lineRule="auto"/>
        <w:jc w:val="both"/>
        <w:rPr>
          <w:rFonts w:ascii="Arial" w:hAnsi="Arial" w:cs="Arial"/>
          <w:sz w:val="24"/>
          <w:szCs w:val="24"/>
        </w:rPr>
      </w:pPr>
      <w:r w:rsidRPr="0074559B">
        <w:rPr>
          <w:rFonts w:ascii="Arial" w:hAnsi="Arial" w:cs="Arial"/>
          <w:sz w:val="24"/>
          <w:szCs w:val="24"/>
        </w:rPr>
        <w:t xml:space="preserve">Para desarrollar el trabajo de campo en la ENT  fue necesario  considerar de manera muy puntual,  como lo  sugiere Hyman (1984) qué  tipo de hechos se va  buscar   y saber cómo encontrarlo. Esto es fundamental   porque permite  </w:t>
      </w:r>
      <w:r w:rsidRPr="0074559B">
        <w:rPr>
          <w:rFonts w:ascii="Arial" w:hAnsi="Arial" w:cs="Arial"/>
          <w:sz w:val="24"/>
          <w:szCs w:val="24"/>
        </w:rPr>
        <w:lastRenderedPageBreak/>
        <w:t>identificar los motivos  por los cuales se quiere investigar.  Por este motivo es necesario  tener  presente la pregunta de investigación y las categorías que la componen, y en este  caso la pregunta que orienta  esta  investigación es:   ¿cómo el desarrollo  académico de la ENT la  configura como una institución de educación superior?  A partir de ello se  observa  que   el desarrollo académico de las  IES ya está determinado por las políticas  educativas, por lo que habrá que analizar los elementos o categorías que lo configuran, desde  tres puntos de contraste  importantes; el plano de lo oficial a  partir de las políticas establecidas, desde lo que   dice la teoría  sobre el desarrollo académico y  finalmente lo que  institucionalmente desarrolla la escuela normal.  Para ello  se plantean  algunos cuestionamientos  que permiten configurar  al desarrollo académico  como son: ¿Cuál es  el perfil de una institución de educación superior? ¿Cuáles son los alcances y límites del desarrollo académico de la ENT  con relación al perfil de una institución de educación superior? ¿Cuáles de las  acciones estratégicas planeadas de manera institucional han posibilitado el desarrollo académico de la ENT y que pudieran  configurarla como una IES? ¿Cómo se vislumbra el desarrollo académico de la ENT  en comparación con el  de las IES en México?  Todo  ello con el  objetivo de comprender  cómo el Desarrollo  Académico  configura a la Escuela Normal de Tecámac (ENT) como una Institución de Educación Superior.</w:t>
      </w:r>
    </w:p>
    <w:p w:rsidR="0074559B" w:rsidRPr="0074559B" w:rsidRDefault="0074559B" w:rsidP="004A226A">
      <w:pPr>
        <w:spacing w:line="480" w:lineRule="auto"/>
        <w:jc w:val="both"/>
        <w:rPr>
          <w:rFonts w:ascii="Arial" w:hAnsi="Arial" w:cs="Arial"/>
          <w:sz w:val="24"/>
          <w:szCs w:val="24"/>
        </w:rPr>
      </w:pPr>
      <w:r w:rsidRPr="0074559B">
        <w:rPr>
          <w:rFonts w:ascii="Arial" w:hAnsi="Arial" w:cs="Arial"/>
          <w:sz w:val="24"/>
          <w:szCs w:val="24"/>
        </w:rPr>
        <w:t xml:space="preserve">Ahora bien siguiendo las ideas  metodológicas propuestas por Hyman, en su texto sobre  diseño y análisis de las encuestas sociales,  es importante analizar cada uno de los conceptos o categorías  que se contrastaran en campo, para tener la  </w:t>
      </w:r>
      <w:r w:rsidRPr="0074559B">
        <w:rPr>
          <w:rFonts w:ascii="Arial" w:hAnsi="Arial" w:cs="Arial"/>
          <w:sz w:val="24"/>
          <w:szCs w:val="24"/>
        </w:rPr>
        <w:lastRenderedPageBreak/>
        <w:t xml:space="preserve">mayor claridad teórica ´posible  y evitar cualquier confusión o contaminación de la investigación de manera posterior. De esta manera a continuación se precisan las categorías  teóricas  contrastadas en el trabajo de campo desde la teoría,  estas son;  planeación estratégica y  desarrollo   académico. </w:t>
      </w:r>
    </w:p>
    <w:p w:rsidR="0074559B" w:rsidRPr="0074559B" w:rsidRDefault="0074559B" w:rsidP="004A226A">
      <w:pPr>
        <w:spacing w:line="480" w:lineRule="auto"/>
        <w:jc w:val="both"/>
        <w:rPr>
          <w:rFonts w:ascii="Arial" w:hAnsi="Arial" w:cs="Arial"/>
          <w:sz w:val="24"/>
          <w:szCs w:val="24"/>
        </w:rPr>
      </w:pPr>
      <w:r w:rsidRPr="0074559B">
        <w:rPr>
          <w:rFonts w:ascii="Arial" w:hAnsi="Arial" w:cs="Arial"/>
          <w:sz w:val="24"/>
          <w:szCs w:val="24"/>
        </w:rPr>
        <w:t xml:space="preserve">La planeación estratégica vista desde la mirada de la gestión estratégica para el sector público  de  Arellano Gault  (2013) como un enfoque que recupera  fundamentalmente el principio ontológico y epistemológico en una definición sustancial: la historia es la construcción objetivamente posible   de los actores  sociales, donde la estrategia se va gestando en el proceso.  Tiene como características  mirar a los grupos sociales como actores pensantes  y constructores de la historia,  pretende encauzar a la gente hacia una </w:t>
      </w:r>
      <w:r>
        <w:rPr>
          <w:rFonts w:ascii="Arial" w:hAnsi="Arial" w:cs="Arial"/>
          <w:sz w:val="24"/>
          <w:szCs w:val="24"/>
        </w:rPr>
        <w:t>perspectiva de  acción racional</w:t>
      </w:r>
      <w:r w:rsidRPr="0074559B">
        <w:rPr>
          <w:rFonts w:ascii="Arial" w:hAnsi="Arial" w:cs="Arial"/>
          <w:sz w:val="24"/>
          <w:szCs w:val="24"/>
        </w:rPr>
        <w:t xml:space="preserve">, la mentalidad estratégica   conlleva un propósito basado en premisas fácticas, el propósito que se persigue debe ser terrenal y objetivo, son los actores los que construye y modifican los sistemas  y parte de pensar en lo posible y no en lo que no se puede. </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t xml:space="preserve">Los elementos que la componen son: visión, misión, diagnostico estratégico, proyecto de integración: la estrategia y los  objetivos estratégicos, el diagnóstico para la acción o el diagnóstico táctico y una implantación, motivación   y evaluación.  A partir de estos  elementos de análisis es que se contrastar con  la planeación del PIFI de las IES y posteriormente con el  ProFEN de manera más específica para el caso de la ENT. </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lastRenderedPageBreak/>
        <w:t xml:space="preserve">La segunda categoría correspondiente al desarrollo académico es definida como: un proceso dinámico y evolutivo de estados de perfeccionamiento  en  desarrollo profesional, flexibilidad académica, curricular y administrativa, investigación educativa  y producción  editorial de cualquier institución de educación superior. A continuación  se expresa en que consiste cada una de las subcategorías que  componen a este  desarrollo académico con la intensión de  proporcionar claridad sobre ellos. </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t>a). Desarrollo profesional: (Francisco Imbernon)  perfil de contratación (perfil profesiográfico), formación, capacitación, actualización. El término de desarrollo  tiene una connotación de evolución y continuidad  por lo que el desarrollo profesional docente se concibe como un proceso de aprendizaje no lineal  y evolutivo  que lo hacen ser un fenómeno complejo y  multidimensional.  Implica interacción con el contexto,  con las condiciones de trabajo, con una dimensión temporal o biográfica en función del momento de la vida en que se encuentren  en la carrera docente.(Marcelo, 2009)</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t xml:space="preserve">b). flexibilidad  académica, curricular y administrativa. Pedroza, (2005) significa diversificación de la oferta académica al disgregar y distribuir contenidos, se manifiesta en cambios  básicamente en tres situaciones: en lo académico, en lo administrativo y en las políticas institucionales y formas de gobierno  con énfasis en la formación de recursos humanos. Se orienta  a la búsqueda de la comunicación  disciplinaria,  a la relación entre conocimiento general y especializado,  a la relación entre  teoría y práctica en el programa  y curriculum, en la  docencia e investigación en la relación  oferta-demanda y en el modelo  </w:t>
      </w:r>
      <w:r w:rsidRPr="003E2641">
        <w:rPr>
          <w:rFonts w:ascii="Arial" w:hAnsi="Arial" w:cs="Arial"/>
          <w:sz w:val="24"/>
          <w:szCs w:val="24"/>
        </w:rPr>
        <w:lastRenderedPageBreak/>
        <w:t xml:space="preserve">educativo: movilidad de actores educativos, acelerar los flujos de comunicación, conexión de conocimiento con la acción, democratizar la regulación del trabajo  académico. </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t>c). investigación educativa. Desde ANUIES “El ejercicio de la investigación debe entenderse como una tarea permanente de renovación del conocimiento y como una acción orientada a la solución, en diversos ´ordenes, de problemas nacionales, regionales y locales”</w:t>
      </w:r>
      <w:r w:rsidR="003E2641">
        <w:rPr>
          <w:rFonts w:ascii="Arial" w:hAnsi="Arial" w:cs="Arial"/>
          <w:sz w:val="24"/>
          <w:szCs w:val="24"/>
        </w:rPr>
        <w:t xml:space="preserve"> Una condición básica y necesaria para la toma de decisiones académicas de manera argumentada.  </w:t>
      </w:r>
    </w:p>
    <w:p w:rsidR="0074559B" w:rsidRPr="003E2641" w:rsidRDefault="0074559B" w:rsidP="004A226A">
      <w:pPr>
        <w:spacing w:line="480" w:lineRule="auto"/>
        <w:jc w:val="both"/>
        <w:rPr>
          <w:rFonts w:ascii="Arial" w:hAnsi="Arial" w:cs="Arial"/>
          <w:sz w:val="24"/>
          <w:szCs w:val="24"/>
        </w:rPr>
      </w:pPr>
      <w:r w:rsidRPr="003E2641">
        <w:rPr>
          <w:rFonts w:ascii="Arial" w:hAnsi="Arial" w:cs="Arial"/>
          <w:sz w:val="24"/>
          <w:szCs w:val="24"/>
        </w:rPr>
        <w:t xml:space="preserve">Ahora bien, habiendo aclarado lo que se buscó contrastar en el trabajo de campo es importante  decir cómo se llevó a cabo la obtención de la información y para ello nuevamente recurrimos a la propuesta  metodológica de Hyman donde  dispone  la base desde la observación  de un efecto que puede ser analizado mediante el establecimiento de relaciones que se establecen entre sus categorías y los atributos que los componen para llegar a comprenderlos, en este sentido es que se habla de configuración desde  Norbeth Elias   como un  conjunto de elementos relacionados  o interrelaciones  que al  integrarse pueden dar una  forma  o una cara, en este caso el desarrollo académico a la Normal de Tecámac como institución de educación superior. </w:t>
      </w:r>
    </w:p>
    <w:p w:rsidR="004A226A" w:rsidRDefault="0074559B" w:rsidP="004A226A">
      <w:pPr>
        <w:spacing w:line="480" w:lineRule="auto"/>
        <w:jc w:val="both"/>
        <w:rPr>
          <w:rFonts w:ascii="Arial" w:hAnsi="Arial" w:cs="Arial"/>
          <w:sz w:val="24"/>
          <w:szCs w:val="24"/>
        </w:rPr>
      </w:pPr>
      <w:r w:rsidRPr="003E2641">
        <w:rPr>
          <w:rFonts w:ascii="Arial" w:hAnsi="Arial" w:cs="Arial"/>
          <w:sz w:val="24"/>
          <w:szCs w:val="24"/>
        </w:rPr>
        <w:t xml:space="preserve">Para  establecer las relaciones que Hyman nos dice, fue imperativo  realizar indicadores que nos permitieran focalizar la  observación  de manera detallada en el campo de trabajo, lo que sucede con los componentes de cada una de las categorías de  planeación estratégica y desarrollo académico,  para la </w:t>
      </w:r>
      <w:r w:rsidRPr="003E2641">
        <w:rPr>
          <w:rFonts w:ascii="Arial" w:hAnsi="Arial" w:cs="Arial"/>
          <w:sz w:val="24"/>
          <w:szCs w:val="24"/>
        </w:rPr>
        <w:lastRenderedPageBreak/>
        <w:t>construcción de los instrumentos, técnicas y estrategias  que   ayudaron a la obtención de la información, bajo la consideración de que con cada instrumento de trabajo de  campo  se pudo  obtener información diferente de cada uno de los componentes de las categorías a trabajar. De tal suerte que la elaboración de los indicadores</w:t>
      </w:r>
      <w:r w:rsidR="00F61A56">
        <w:rPr>
          <w:rFonts w:ascii="Arial" w:hAnsi="Arial" w:cs="Arial"/>
          <w:sz w:val="24"/>
          <w:szCs w:val="24"/>
        </w:rPr>
        <w:t xml:space="preserve"> respondieran</w:t>
      </w:r>
      <w:r w:rsidRPr="003E2641">
        <w:rPr>
          <w:rFonts w:ascii="Arial" w:hAnsi="Arial" w:cs="Arial"/>
          <w:sz w:val="24"/>
          <w:szCs w:val="24"/>
        </w:rPr>
        <w:t xml:space="preserve"> a la necesidad de  focalizar  los componentes y atributos de las categorías de la  pregunta que orienta esta investigación</w:t>
      </w:r>
      <w:r w:rsidR="00F61A56">
        <w:rPr>
          <w:rFonts w:ascii="Arial" w:hAnsi="Arial" w:cs="Arial"/>
          <w:sz w:val="24"/>
          <w:szCs w:val="24"/>
        </w:rPr>
        <w:t xml:space="preserve"> ¿cómo  el  desarrollo académico configura a la  escuela normal de Tecámac como una institución de educación  superior?</w:t>
      </w:r>
      <w:r w:rsidRPr="003E2641">
        <w:rPr>
          <w:rFonts w:ascii="Arial" w:hAnsi="Arial" w:cs="Arial"/>
          <w:sz w:val="24"/>
          <w:szCs w:val="24"/>
        </w:rPr>
        <w:t xml:space="preserve">  para</w:t>
      </w:r>
      <w:r w:rsidRPr="00FF2A7E">
        <w:t xml:space="preserve"> </w:t>
      </w:r>
      <w:r>
        <w:t xml:space="preserve">  </w:t>
      </w:r>
      <w:r w:rsidRPr="003E2641">
        <w:rPr>
          <w:rFonts w:ascii="Arial" w:hAnsi="Arial" w:cs="Arial"/>
          <w:sz w:val="24"/>
          <w:szCs w:val="24"/>
        </w:rPr>
        <w:t>hacer  contrastes  entre lo que  se expresa en el discurso  oficial, lo que se realiza en la escuela normal  y lo que  la teoría orienta;  y así avanzar en  su comprensión haciendo uso de las  categoría</w:t>
      </w:r>
      <w:r w:rsidR="009F4AC0">
        <w:rPr>
          <w:rFonts w:ascii="Arial" w:hAnsi="Arial" w:cs="Arial"/>
          <w:sz w:val="24"/>
          <w:szCs w:val="24"/>
        </w:rPr>
        <w:t>s empíricas que surgieron</w:t>
      </w:r>
      <w:r w:rsidRPr="003E2641">
        <w:rPr>
          <w:rFonts w:ascii="Arial" w:hAnsi="Arial" w:cs="Arial"/>
          <w:sz w:val="24"/>
          <w:szCs w:val="24"/>
        </w:rPr>
        <w:t xml:space="preserve"> del  trabajo de campo. Es  importante hacer </w:t>
      </w:r>
      <w:r w:rsidR="003E2641">
        <w:rPr>
          <w:rFonts w:ascii="Arial" w:hAnsi="Arial" w:cs="Arial"/>
          <w:sz w:val="24"/>
          <w:szCs w:val="24"/>
        </w:rPr>
        <w:t>mención  de que  algunos indicadores tuvieron que ser implementados</w:t>
      </w:r>
      <w:r w:rsidRPr="003E2641">
        <w:rPr>
          <w:rFonts w:ascii="Arial" w:hAnsi="Arial" w:cs="Arial"/>
          <w:sz w:val="24"/>
          <w:szCs w:val="24"/>
        </w:rPr>
        <w:t xml:space="preserve"> durante el  desarrollo del propio trabajo de cam</w:t>
      </w:r>
      <w:r w:rsidR="002A1CA4">
        <w:rPr>
          <w:rFonts w:ascii="Arial" w:hAnsi="Arial" w:cs="Arial"/>
          <w:sz w:val="24"/>
          <w:szCs w:val="24"/>
        </w:rPr>
        <w:t xml:space="preserve">po. </w:t>
      </w:r>
      <w:r w:rsidR="00435AD7">
        <w:rPr>
          <w:rFonts w:ascii="Arial" w:hAnsi="Arial" w:cs="Arial"/>
          <w:sz w:val="24"/>
          <w:szCs w:val="24"/>
        </w:rPr>
        <w:tab/>
      </w:r>
    </w:p>
    <w:p w:rsidR="00AD37DB" w:rsidRPr="007053D4" w:rsidRDefault="007053D4" w:rsidP="007053D4">
      <w:pPr>
        <w:spacing w:line="480" w:lineRule="auto"/>
        <w:jc w:val="both"/>
        <w:rPr>
          <w:rFonts w:ascii="Arial" w:hAnsi="Arial" w:cs="Arial"/>
          <w:sz w:val="24"/>
          <w:szCs w:val="24"/>
        </w:rPr>
      </w:pPr>
      <w:r>
        <w:rPr>
          <w:rFonts w:ascii="Arial" w:hAnsi="Arial" w:cs="Arial"/>
          <w:sz w:val="24"/>
          <w:szCs w:val="24"/>
        </w:rPr>
        <w:t xml:space="preserve">a). </w:t>
      </w:r>
      <w:r w:rsidR="00AD37DB" w:rsidRPr="007053D4">
        <w:rPr>
          <w:rFonts w:ascii="Arial" w:hAnsi="Arial" w:cs="Arial"/>
          <w:sz w:val="24"/>
          <w:szCs w:val="24"/>
        </w:rPr>
        <w:t>Los instrumentos, su aplicación y organización de la  información</w:t>
      </w:r>
    </w:p>
    <w:p w:rsidR="00AD37DB" w:rsidRPr="00AD37DB" w:rsidRDefault="00AD37DB" w:rsidP="00AD37DB">
      <w:pPr>
        <w:spacing w:line="480" w:lineRule="auto"/>
        <w:jc w:val="both"/>
        <w:rPr>
          <w:rFonts w:ascii="Arial" w:hAnsi="Arial" w:cs="Arial"/>
          <w:sz w:val="24"/>
          <w:szCs w:val="24"/>
        </w:rPr>
      </w:pPr>
      <w:r w:rsidRPr="00AD37DB">
        <w:rPr>
          <w:rFonts w:ascii="Arial" w:hAnsi="Arial" w:cs="Arial"/>
          <w:sz w:val="24"/>
          <w:szCs w:val="24"/>
        </w:rPr>
        <w:t>A pa</w:t>
      </w:r>
      <w:r w:rsidR="009F4AC0">
        <w:rPr>
          <w:rFonts w:ascii="Arial" w:hAnsi="Arial" w:cs="Arial"/>
          <w:sz w:val="24"/>
          <w:szCs w:val="24"/>
        </w:rPr>
        <w:t xml:space="preserve">rtir del cuadro  de indicadores mencionado en el apartado anterior, </w:t>
      </w:r>
      <w:r w:rsidRPr="00AD37DB">
        <w:rPr>
          <w:rFonts w:ascii="Arial" w:hAnsi="Arial" w:cs="Arial"/>
          <w:sz w:val="24"/>
          <w:szCs w:val="24"/>
        </w:rPr>
        <w:t xml:space="preserve"> se  diseñaron tres cuestionarios  para aplicar al personal de la  E</w:t>
      </w:r>
      <w:r w:rsidR="009F4AC0">
        <w:rPr>
          <w:rFonts w:ascii="Arial" w:hAnsi="Arial" w:cs="Arial"/>
          <w:sz w:val="24"/>
          <w:szCs w:val="24"/>
        </w:rPr>
        <w:t xml:space="preserve">scuela </w:t>
      </w:r>
      <w:r w:rsidRPr="00AD37DB">
        <w:rPr>
          <w:rFonts w:ascii="Arial" w:hAnsi="Arial" w:cs="Arial"/>
          <w:sz w:val="24"/>
          <w:szCs w:val="24"/>
        </w:rPr>
        <w:t>N</w:t>
      </w:r>
      <w:r w:rsidR="009F4AC0">
        <w:rPr>
          <w:rFonts w:ascii="Arial" w:hAnsi="Arial" w:cs="Arial"/>
          <w:sz w:val="24"/>
          <w:szCs w:val="24"/>
        </w:rPr>
        <w:t xml:space="preserve">ormal de </w:t>
      </w:r>
      <w:r w:rsidRPr="00AD37DB">
        <w:rPr>
          <w:rFonts w:ascii="Arial" w:hAnsi="Arial" w:cs="Arial"/>
          <w:sz w:val="24"/>
          <w:szCs w:val="24"/>
        </w:rPr>
        <w:t>T</w:t>
      </w:r>
      <w:r w:rsidR="009F4AC0">
        <w:rPr>
          <w:rFonts w:ascii="Arial" w:hAnsi="Arial" w:cs="Arial"/>
          <w:sz w:val="24"/>
          <w:szCs w:val="24"/>
        </w:rPr>
        <w:t>ecámac</w:t>
      </w:r>
      <w:r w:rsidRPr="00AD37DB">
        <w:rPr>
          <w:rFonts w:ascii="Arial" w:hAnsi="Arial" w:cs="Arial"/>
          <w:sz w:val="24"/>
          <w:szCs w:val="24"/>
        </w:rPr>
        <w:t xml:space="preserve"> y a personal de otras instituciones de educación superior  y representantes de instancias</w:t>
      </w:r>
      <w:r w:rsidR="009F4AC0">
        <w:rPr>
          <w:rFonts w:ascii="Arial" w:hAnsi="Arial" w:cs="Arial"/>
          <w:sz w:val="24"/>
          <w:szCs w:val="24"/>
        </w:rPr>
        <w:t xml:space="preserve"> que aportaran información</w:t>
      </w:r>
      <w:r w:rsidRPr="00AD37DB">
        <w:rPr>
          <w:rFonts w:ascii="Arial" w:hAnsi="Arial" w:cs="Arial"/>
          <w:sz w:val="24"/>
          <w:szCs w:val="24"/>
        </w:rPr>
        <w:t xml:space="preserve">.  </w:t>
      </w:r>
      <w:r w:rsidR="009F4AC0">
        <w:rPr>
          <w:rFonts w:ascii="Arial" w:hAnsi="Arial" w:cs="Arial"/>
          <w:sz w:val="24"/>
          <w:szCs w:val="24"/>
        </w:rPr>
        <w:t xml:space="preserve">En total se aplicaron  12 instrumentos. </w:t>
      </w:r>
      <w:r w:rsidRPr="00AD37DB">
        <w:rPr>
          <w:rFonts w:ascii="Arial" w:hAnsi="Arial" w:cs="Arial"/>
          <w:sz w:val="24"/>
          <w:szCs w:val="24"/>
        </w:rPr>
        <w:t xml:space="preserve"> Todos con la  intensión de identificar la manera en que la planeación institucional ha apoyado  el desarrollo académico desde la función que desempeñan, su experiencia y su percepción.  La información obtenida en los diferentes instrumentos  permitió iniciar con algunos  contrastes entre lo que se  estipula como política educativa del desarrollo académico y su relación con la </w:t>
      </w:r>
      <w:r w:rsidRPr="00AD37DB">
        <w:rPr>
          <w:rFonts w:ascii="Arial" w:hAnsi="Arial" w:cs="Arial"/>
          <w:sz w:val="24"/>
          <w:szCs w:val="24"/>
        </w:rPr>
        <w:lastRenderedPageBreak/>
        <w:t>manera en que la ENT  las atiende mediante las preguntas subsidiarias de la investigación.</w:t>
      </w:r>
    </w:p>
    <w:p w:rsidR="004013DA" w:rsidRDefault="00AD37DB" w:rsidP="009F4AC0">
      <w:pPr>
        <w:spacing w:line="480" w:lineRule="auto"/>
        <w:jc w:val="both"/>
        <w:rPr>
          <w:rFonts w:ascii="Arial" w:hAnsi="Arial" w:cs="Arial"/>
          <w:sz w:val="24"/>
          <w:szCs w:val="24"/>
        </w:rPr>
      </w:pPr>
      <w:r w:rsidRPr="00AD37DB">
        <w:rPr>
          <w:rFonts w:ascii="Arial" w:hAnsi="Arial" w:cs="Arial"/>
          <w:sz w:val="24"/>
          <w:szCs w:val="24"/>
        </w:rPr>
        <w:t>En un segundo momento fue importante seguir con la revisión  de documentos  mediante cuadros  de análisis  para  continuar con el establecimiento  de relaciones que permitan comprender  cuáles de las acciones estratégicas planeadas de manera institucional han posibilitado el  desarrollo  académico de la escuela normal y que pudieran configurarla como Ins</w:t>
      </w:r>
      <w:r w:rsidR="004013DA">
        <w:rPr>
          <w:rFonts w:ascii="Arial" w:hAnsi="Arial" w:cs="Arial"/>
          <w:sz w:val="24"/>
          <w:szCs w:val="24"/>
        </w:rPr>
        <w:t xml:space="preserve">titución de educación superior. </w:t>
      </w:r>
    </w:p>
    <w:p w:rsidR="005C2193" w:rsidRPr="007053D4" w:rsidRDefault="007053D4" w:rsidP="007053D4">
      <w:pPr>
        <w:spacing w:line="480" w:lineRule="auto"/>
        <w:jc w:val="both"/>
        <w:rPr>
          <w:rFonts w:ascii="Arial" w:hAnsi="Arial" w:cs="Arial"/>
          <w:sz w:val="24"/>
          <w:szCs w:val="24"/>
        </w:rPr>
      </w:pPr>
      <w:r>
        <w:rPr>
          <w:rFonts w:ascii="Arial" w:hAnsi="Arial" w:cs="Arial"/>
          <w:sz w:val="24"/>
          <w:szCs w:val="24"/>
        </w:rPr>
        <w:t xml:space="preserve">b). </w:t>
      </w:r>
      <w:r w:rsidR="005C2193" w:rsidRPr="007053D4">
        <w:rPr>
          <w:rFonts w:ascii="Arial" w:hAnsi="Arial" w:cs="Arial"/>
          <w:sz w:val="24"/>
          <w:szCs w:val="24"/>
        </w:rPr>
        <w:t xml:space="preserve">La organización de la información </w:t>
      </w:r>
    </w:p>
    <w:p w:rsidR="009F4AC0" w:rsidRDefault="009F4AC0" w:rsidP="009F4AC0">
      <w:pPr>
        <w:spacing w:line="480" w:lineRule="auto"/>
        <w:jc w:val="both"/>
        <w:rPr>
          <w:rFonts w:ascii="Arial" w:hAnsi="Arial" w:cs="Arial"/>
          <w:sz w:val="24"/>
          <w:szCs w:val="24"/>
        </w:rPr>
      </w:pPr>
      <w:r>
        <w:rPr>
          <w:rFonts w:ascii="Arial" w:hAnsi="Arial" w:cs="Arial"/>
          <w:sz w:val="24"/>
          <w:szCs w:val="24"/>
        </w:rPr>
        <w:t>Para organizar la  información obtenida   fue necesario  realizar un proceso de</w:t>
      </w:r>
      <w:r w:rsidR="00551B8A">
        <w:rPr>
          <w:rFonts w:ascii="Arial" w:hAnsi="Arial" w:cs="Arial"/>
          <w:sz w:val="24"/>
          <w:szCs w:val="24"/>
        </w:rPr>
        <w:t xml:space="preserve"> decodificación  y </w:t>
      </w:r>
      <w:r>
        <w:rPr>
          <w:rFonts w:ascii="Arial" w:hAnsi="Arial" w:cs="Arial"/>
          <w:sz w:val="24"/>
          <w:szCs w:val="24"/>
        </w:rPr>
        <w:t xml:space="preserve"> triangulación  entre los diferentes instrumentos  de acopio, con la intensión de  obtener de  cada instrumento l</w:t>
      </w:r>
      <w:r w:rsidR="00551B8A">
        <w:rPr>
          <w:rFonts w:ascii="Arial" w:hAnsi="Arial" w:cs="Arial"/>
          <w:sz w:val="24"/>
          <w:szCs w:val="24"/>
        </w:rPr>
        <w:t>o que aportó  a cada  uno de los ejes de análisis planteados en el cuadro de  indicadores  del trabajo</w:t>
      </w:r>
      <w:r w:rsidR="005C2193">
        <w:rPr>
          <w:rFonts w:ascii="Arial" w:hAnsi="Arial" w:cs="Arial"/>
          <w:sz w:val="24"/>
          <w:szCs w:val="24"/>
        </w:rPr>
        <w:t xml:space="preserve"> de campo para</w:t>
      </w:r>
      <w:r w:rsidR="00551B8A">
        <w:rPr>
          <w:rFonts w:ascii="Arial" w:hAnsi="Arial" w:cs="Arial"/>
          <w:sz w:val="24"/>
          <w:szCs w:val="24"/>
        </w:rPr>
        <w:t xml:space="preserve"> la investigación y fue concentrada en cuadros como el que se muestra a</w:t>
      </w:r>
      <w:r w:rsidR="007053D4">
        <w:rPr>
          <w:rFonts w:ascii="Arial" w:hAnsi="Arial" w:cs="Arial"/>
          <w:sz w:val="24"/>
          <w:szCs w:val="24"/>
        </w:rPr>
        <w:t xml:space="preserve"> </w:t>
      </w:r>
      <w:r w:rsidR="00551B8A">
        <w:rPr>
          <w:rFonts w:ascii="Arial" w:hAnsi="Arial" w:cs="Arial"/>
          <w:sz w:val="24"/>
          <w:szCs w:val="24"/>
        </w:rPr>
        <w:t>continuación:</w:t>
      </w:r>
    </w:p>
    <w:tbl>
      <w:tblPr>
        <w:tblStyle w:val="Tablaconcuadrcula"/>
        <w:tblW w:w="0" w:type="auto"/>
        <w:tblLook w:val="04A0" w:firstRow="1" w:lastRow="0" w:firstColumn="1" w:lastColumn="0" w:noHBand="0" w:noVBand="1"/>
      </w:tblPr>
      <w:tblGrid>
        <w:gridCol w:w="1792"/>
        <w:gridCol w:w="1799"/>
        <w:gridCol w:w="5463"/>
      </w:tblGrid>
      <w:tr w:rsidR="004013DA" w:rsidRPr="004013DA" w:rsidTr="00254AE0">
        <w:tc>
          <w:tcPr>
            <w:tcW w:w="1792" w:type="dxa"/>
          </w:tcPr>
          <w:p w:rsidR="004013DA" w:rsidRPr="004013DA" w:rsidRDefault="004013DA" w:rsidP="004013DA">
            <w:pPr>
              <w:rPr>
                <w:rFonts w:ascii="Arial" w:hAnsi="Arial" w:cs="Arial"/>
                <w:b/>
                <w:sz w:val="24"/>
                <w:szCs w:val="24"/>
              </w:rPr>
            </w:pPr>
            <w:r w:rsidRPr="004013DA">
              <w:rPr>
                <w:rFonts w:ascii="Arial" w:hAnsi="Arial" w:cs="Arial"/>
                <w:b/>
                <w:sz w:val="24"/>
                <w:szCs w:val="24"/>
              </w:rPr>
              <w:t xml:space="preserve">Eje de análisis </w:t>
            </w:r>
          </w:p>
        </w:tc>
        <w:tc>
          <w:tcPr>
            <w:tcW w:w="1799" w:type="dxa"/>
          </w:tcPr>
          <w:p w:rsidR="004013DA" w:rsidRPr="004013DA" w:rsidRDefault="004013DA" w:rsidP="004013DA">
            <w:pPr>
              <w:rPr>
                <w:rFonts w:ascii="Arial" w:hAnsi="Arial" w:cs="Arial"/>
                <w:b/>
                <w:sz w:val="24"/>
                <w:szCs w:val="24"/>
              </w:rPr>
            </w:pPr>
            <w:r w:rsidRPr="004013DA">
              <w:rPr>
                <w:rFonts w:ascii="Arial" w:hAnsi="Arial" w:cs="Arial"/>
                <w:b/>
                <w:sz w:val="24"/>
                <w:szCs w:val="24"/>
              </w:rPr>
              <w:t>Codificador del instrumento</w:t>
            </w:r>
            <w:r w:rsidR="00254AE0">
              <w:rPr>
                <w:rFonts w:ascii="Arial" w:hAnsi="Arial" w:cs="Arial"/>
                <w:b/>
                <w:sz w:val="24"/>
                <w:szCs w:val="24"/>
              </w:rPr>
              <w:t>*</w:t>
            </w:r>
            <w:r w:rsidRPr="004013DA">
              <w:rPr>
                <w:rFonts w:ascii="Arial" w:hAnsi="Arial" w:cs="Arial"/>
                <w:b/>
                <w:sz w:val="24"/>
                <w:szCs w:val="24"/>
              </w:rPr>
              <w:t xml:space="preserve"> </w:t>
            </w:r>
          </w:p>
        </w:tc>
        <w:tc>
          <w:tcPr>
            <w:tcW w:w="5463" w:type="dxa"/>
          </w:tcPr>
          <w:p w:rsidR="004013DA" w:rsidRPr="004013DA" w:rsidRDefault="004013DA" w:rsidP="004013DA">
            <w:pPr>
              <w:rPr>
                <w:rFonts w:ascii="Arial" w:hAnsi="Arial" w:cs="Arial"/>
                <w:b/>
                <w:sz w:val="24"/>
                <w:szCs w:val="24"/>
              </w:rPr>
            </w:pPr>
            <w:r w:rsidRPr="004013DA">
              <w:rPr>
                <w:rFonts w:ascii="Arial" w:hAnsi="Arial" w:cs="Arial"/>
                <w:b/>
                <w:sz w:val="24"/>
                <w:szCs w:val="24"/>
              </w:rPr>
              <w:t xml:space="preserve">Información obtenida </w:t>
            </w:r>
          </w:p>
        </w:tc>
      </w:tr>
      <w:tr w:rsidR="004013DA" w:rsidRPr="004013DA" w:rsidTr="00254AE0">
        <w:tc>
          <w:tcPr>
            <w:tcW w:w="1792" w:type="dxa"/>
          </w:tcPr>
          <w:p w:rsidR="004013DA" w:rsidRPr="004013DA" w:rsidRDefault="004013DA" w:rsidP="004013DA">
            <w:pPr>
              <w:rPr>
                <w:sz w:val="24"/>
                <w:szCs w:val="24"/>
              </w:rPr>
            </w:pPr>
            <w:r w:rsidRPr="004013DA">
              <w:rPr>
                <w:rFonts w:ascii="Arial" w:hAnsi="Arial" w:cs="Arial"/>
                <w:sz w:val="24"/>
                <w:szCs w:val="24"/>
              </w:rPr>
              <w:t>Planeación estratégica</w:t>
            </w:r>
          </w:p>
        </w:tc>
        <w:tc>
          <w:tcPr>
            <w:tcW w:w="1799" w:type="dxa"/>
          </w:tcPr>
          <w:p w:rsidR="004013DA" w:rsidRPr="004013DA" w:rsidRDefault="005C2193" w:rsidP="004013DA">
            <w:pPr>
              <w:rPr>
                <w:sz w:val="24"/>
                <w:szCs w:val="24"/>
              </w:rPr>
            </w:pPr>
            <w:r>
              <w:t>E1DEN</w:t>
            </w:r>
            <w:r w:rsidR="004013DA">
              <w:t>031215</w:t>
            </w:r>
          </w:p>
        </w:tc>
        <w:tc>
          <w:tcPr>
            <w:tcW w:w="5463" w:type="dxa"/>
          </w:tcPr>
          <w:p w:rsidR="004013DA" w:rsidRPr="004013DA" w:rsidRDefault="004013DA" w:rsidP="004013DA">
            <w:pPr>
              <w:jc w:val="both"/>
              <w:rPr>
                <w:rFonts w:ascii="Arial" w:hAnsi="Arial" w:cs="Arial"/>
                <w:sz w:val="24"/>
                <w:szCs w:val="24"/>
              </w:rPr>
            </w:pPr>
            <w:r w:rsidRPr="004013DA">
              <w:rPr>
                <w:rFonts w:ascii="Arial" w:hAnsi="Arial" w:cs="Arial"/>
                <w:sz w:val="24"/>
                <w:szCs w:val="24"/>
              </w:rPr>
              <w:t xml:space="preserve">La ausencia de autonomía en las escuelas normales ha sido una limitante para su plano desarrollo, siempre han estado bajo la mirada y supervisión de una autoridad educativa que le impide desempeñarse como una verdadera institución de educación superior, para cualquier cosa que se haga al interior hacia el exterior, tiene que tener previa autorización. Der tal manera que si las escuelas normales no logran cierta autonomía, no podrán aspirar a ser verdaderas instituciones de educación superior </w:t>
            </w:r>
            <w:r w:rsidRPr="004013DA">
              <w:rPr>
                <w:rFonts w:ascii="Arial" w:hAnsi="Arial" w:cs="Arial"/>
                <w:sz w:val="24"/>
                <w:szCs w:val="24"/>
              </w:rPr>
              <w:lastRenderedPageBreak/>
              <w:t>(pregunta 2)</w:t>
            </w:r>
          </w:p>
          <w:p w:rsidR="004013DA" w:rsidRPr="004013DA" w:rsidRDefault="004013DA" w:rsidP="004013DA">
            <w:pPr>
              <w:jc w:val="both"/>
              <w:rPr>
                <w:rFonts w:ascii="Arial" w:hAnsi="Arial" w:cs="Arial"/>
                <w:color w:val="222222"/>
                <w:sz w:val="24"/>
                <w:szCs w:val="24"/>
                <w:shd w:val="clear" w:color="auto" w:fill="FFFFFF"/>
              </w:rPr>
            </w:pPr>
            <w:r w:rsidRPr="004013DA">
              <w:rPr>
                <w:rFonts w:ascii="Arial" w:hAnsi="Arial" w:cs="Arial"/>
                <w:sz w:val="24"/>
                <w:szCs w:val="24"/>
              </w:rPr>
              <w:t>Debe partir de una planeación estratégica para que el Plan de Desarrollo Institucional sea el d</w:t>
            </w:r>
            <w:r w:rsidRPr="004013DA">
              <w:rPr>
                <w:rFonts w:ascii="Arial" w:hAnsi="Arial" w:cs="Arial"/>
                <w:color w:val="222222"/>
                <w:sz w:val="24"/>
                <w:szCs w:val="24"/>
                <w:shd w:val="clear" w:color="auto" w:fill="FFFFFF"/>
              </w:rPr>
              <w:t>ocumento escrito en el que se detallan las acciones específicas de gestión, dirigidas a objetivos específicos que favorezcan la consolidación de la Escuela Normal y de su producto, que en este caso son los nuevos docentes en formación. Esta planeación deberá considerar la misión y visión institucional, y convertirse en una verdadera planeación estratégica. (pregunta 3)</w:t>
            </w:r>
          </w:p>
          <w:p w:rsidR="004013DA" w:rsidRPr="004013DA" w:rsidRDefault="004013DA" w:rsidP="004013DA">
            <w:pPr>
              <w:jc w:val="both"/>
              <w:rPr>
                <w:rFonts w:ascii="Arial" w:hAnsi="Arial" w:cs="Arial"/>
                <w:sz w:val="24"/>
                <w:szCs w:val="24"/>
              </w:rPr>
            </w:pPr>
            <w:r w:rsidRPr="004013DA">
              <w:rPr>
                <w:rFonts w:ascii="Arial" w:hAnsi="Arial" w:cs="Arial"/>
                <w:sz w:val="24"/>
                <w:szCs w:val="24"/>
              </w:rPr>
              <w:t xml:space="preserve">Con las disposiciones del PROMEP ahora  PRODEP  se presenta la necesidad de tener  personal de tiempo completo habilitado en  líneas de generación y aplicación de conocimiento  ¿es posible en la Escuela Normal  hacerlo?  ¿Cómo lo  hace? </w:t>
            </w:r>
          </w:p>
          <w:p w:rsidR="004013DA" w:rsidRPr="004013DA" w:rsidRDefault="004013DA" w:rsidP="004013DA">
            <w:pPr>
              <w:jc w:val="both"/>
              <w:rPr>
                <w:sz w:val="24"/>
                <w:szCs w:val="24"/>
              </w:rPr>
            </w:pPr>
            <w:r w:rsidRPr="004013DA">
              <w:rPr>
                <w:rFonts w:ascii="Arial" w:hAnsi="Arial" w:cs="Arial"/>
                <w:sz w:val="24"/>
                <w:szCs w:val="24"/>
              </w:rPr>
              <w:t>Si es posible para nuestra institución, contamos actualmente con personal de tiempo completo con la habilitación necesaria, con lo que se ha estado batallando es con la voluntad e interés de los docentes para participar en este proceso. (pregunta 4)</w:t>
            </w:r>
          </w:p>
        </w:tc>
      </w:tr>
      <w:tr w:rsidR="004013DA" w:rsidRPr="004013DA" w:rsidTr="00254AE0">
        <w:tc>
          <w:tcPr>
            <w:tcW w:w="1792" w:type="dxa"/>
          </w:tcPr>
          <w:p w:rsidR="004013DA" w:rsidRPr="004013DA" w:rsidRDefault="004013DA" w:rsidP="004013DA">
            <w:pPr>
              <w:rPr>
                <w:sz w:val="24"/>
                <w:szCs w:val="24"/>
              </w:rPr>
            </w:pPr>
          </w:p>
        </w:tc>
        <w:tc>
          <w:tcPr>
            <w:tcW w:w="1799" w:type="dxa"/>
          </w:tcPr>
          <w:p w:rsidR="004013DA" w:rsidRPr="004013DA" w:rsidRDefault="004013DA" w:rsidP="004013DA">
            <w:pPr>
              <w:rPr>
                <w:sz w:val="24"/>
                <w:szCs w:val="24"/>
              </w:rPr>
            </w:pPr>
            <w:r>
              <w:t>NA1071215</w:t>
            </w:r>
          </w:p>
        </w:tc>
        <w:tc>
          <w:tcPr>
            <w:tcW w:w="5463" w:type="dxa"/>
          </w:tcPr>
          <w:p w:rsidR="004013DA" w:rsidRPr="00254AE0" w:rsidRDefault="004013DA" w:rsidP="004013DA">
            <w:pPr>
              <w:rPr>
                <w:rFonts w:ascii="Arial" w:hAnsi="Arial" w:cs="Arial"/>
                <w:sz w:val="24"/>
                <w:szCs w:val="24"/>
              </w:rPr>
            </w:pPr>
            <w:r w:rsidRPr="00254AE0">
              <w:rPr>
                <w:rFonts w:ascii="Arial" w:hAnsi="Arial" w:cs="Arial"/>
                <w:sz w:val="24"/>
                <w:szCs w:val="24"/>
              </w:rPr>
              <w:t xml:space="preserve">Las dificultades administrativas para asistencia a eventos académicos  y generar procesos de investigación son de tres  tipos: </w:t>
            </w:r>
          </w:p>
          <w:p w:rsidR="004013DA" w:rsidRPr="00254AE0" w:rsidRDefault="004013DA" w:rsidP="004013DA">
            <w:pPr>
              <w:pStyle w:val="Prrafodelista"/>
              <w:numPr>
                <w:ilvl w:val="0"/>
                <w:numId w:val="5"/>
              </w:numPr>
              <w:rPr>
                <w:rFonts w:ascii="Arial" w:hAnsi="Arial" w:cs="Arial"/>
                <w:sz w:val="24"/>
                <w:szCs w:val="24"/>
              </w:rPr>
            </w:pPr>
            <w:r w:rsidRPr="00254AE0">
              <w:rPr>
                <w:rFonts w:ascii="Arial" w:hAnsi="Arial" w:cs="Arial"/>
                <w:sz w:val="24"/>
                <w:szCs w:val="24"/>
              </w:rPr>
              <w:t>Tiempo: burocratismo en las condiciones para generar procesos de investigación.</w:t>
            </w:r>
          </w:p>
          <w:p w:rsidR="004013DA" w:rsidRPr="00254AE0" w:rsidRDefault="004013DA" w:rsidP="004013DA">
            <w:pPr>
              <w:pStyle w:val="Prrafodelista"/>
              <w:numPr>
                <w:ilvl w:val="0"/>
                <w:numId w:val="5"/>
              </w:numPr>
              <w:rPr>
                <w:rFonts w:ascii="Arial" w:hAnsi="Arial" w:cs="Arial"/>
                <w:sz w:val="24"/>
                <w:szCs w:val="24"/>
              </w:rPr>
            </w:pPr>
            <w:r w:rsidRPr="00254AE0">
              <w:rPr>
                <w:rFonts w:ascii="Arial" w:hAnsi="Arial" w:cs="Arial"/>
                <w:sz w:val="24"/>
                <w:szCs w:val="24"/>
              </w:rPr>
              <w:t>Forma: Para el Personal de tiempo completo, no hay un horario  asignado formalmente de manera institucional.</w:t>
            </w:r>
          </w:p>
          <w:p w:rsidR="004013DA" w:rsidRPr="00254AE0" w:rsidRDefault="004013DA" w:rsidP="004013DA">
            <w:pPr>
              <w:pStyle w:val="Prrafodelista"/>
              <w:numPr>
                <w:ilvl w:val="0"/>
                <w:numId w:val="5"/>
              </w:numPr>
              <w:jc w:val="both"/>
              <w:rPr>
                <w:rFonts w:ascii="Arial" w:hAnsi="Arial" w:cs="Arial"/>
                <w:sz w:val="24"/>
                <w:szCs w:val="24"/>
              </w:rPr>
            </w:pPr>
            <w:r w:rsidRPr="00254AE0">
              <w:rPr>
                <w:rFonts w:ascii="Arial" w:hAnsi="Arial" w:cs="Arial"/>
                <w:sz w:val="24"/>
                <w:szCs w:val="24"/>
              </w:rPr>
              <w:t xml:space="preserve">Fondo: para gestionar la posibilidad de salir dela institución a  actividades académicas y de investigación existen formatos específicos que deben ser  remitidos  con 40 días de antelación al evento,  se solicita un plan de trabajo asincrónico a la temporalidad del evento, cuando los  eventos son emergentes es casi imposible asistir( a menos que el docente decida hacer uso de sus recursos  propios como días económicos   por ejemplo bajo propósitos de carácter personal), el tipo de recurso destinado es extemporáneo o inexistente, esto </w:t>
            </w:r>
            <w:r w:rsidRPr="00254AE0">
              <w:rPr>
                <w:rFonts w:ascii="Arial" w:hAnsi="Arial" w:cs="Arial"/>
                <w:sz w:val="24"/>
                <w:szCs w:val="24"/>
              </w:rPr>
              <w:lastRenderedPageBreak/>
              <w:t>ocasiona en variadas ocasiones la negación  de la autorización para salir de la institución a realizar las actividades.</w:t>
            </w:r>
          </w:p>
          <w:p w:rsidR="004013DA" w:rsidRPr="00254AE0" w:rsidRDefault="004013DA" w:rsidP="004013DA">
            <w:pPr>
              <w:pStyle w:val="Prrafodelista"/>
              <w:numPr>
                <w:ilvl w:val="0"/>
                <w:numId w:val="5"/>
              </w:numPr>
              <w:jc w:val="both"/>
              <w:rPr>
                <w:rFonts w:ascii="Arial" w:hAnsi="Arial" w:cs="Arial"/>
                <w:sz w:val="24"/>
                <w:szCs w:val="24"/>
              </w:rPr>
            </w:pPr>
            <w:r w:rsidRPr="00254AE0">
              <w:rPr>
                <w:rFonts w:ascii="Arial" w:hAnsi="Arial" w:cs="Arial"/>
                <w:sz w:val="24"/>
                <w:szCs w:val="24"/>
              </w:rPr>
              <w:t>Las aspiraciones personales de convencimiento de que a mayor profesionalización menor desgaste hacen que docentes integrantes del cuerpo académico  inviertan tiempo, dinero y esfuerzo en actividades de profesionalización e investigación.</w:t>
            </w:r>
          </w:p>
          <w:p w:rsidR="004013DA" w:rsidRPr="004013DA" w:rsidRDefault="004013DA" w:rsidP="004013DA">
            <w:pPr>
              <w:jc w:val="both"/>
              <w:rPr>
                <w:sz w:val="24"/>
                <w:szCs w:val="24"/>
              </w:rPr>
            </w:pPr>
          </w:p>
        </w:tc>
      </w:tr>
      <w:tr w:rsidR="004013DA" w:rsidRPr="004013DA" w:rsidTr="00254AE0">
        <w:tc>
          <w:tcPr>
            <w:tcW w:w="1792" w:type="dxa"/>
          </w:tcPr>
          <w:p w:rsidR="004013DA" w:rsidRPr="004013DA" w:rsidRDefault="004013DA" w:rsidP="004013DA">
            <w:pPr>
              <w:rPr>
                <w:sz w:val="24"/>
                <w:szCs w:val="24"/>
              </w:rPr>
            </w:pPr>
          </w:p>
        </w:tc>
        <w:tc>
          <w:tcPr>
            <w:tcW w:w="1799" w:type="dxa"/>
          </w:tcPr>
          <w:p w:rsidR="004013DA" w:rsidRPr="004013DA" w:rsidRDefault="00254AE0" w:rsidP="004013DA">
            <w:pPr>
              <w:rPr>
                <w:sz w:val="24"/>
                <w:szCs w:val="24"/>
              </w:rPr>
            </w:pPr>
            <w:r>
              <w:rPr>
                <w:sz w:val="24"/>
                <w:szCs w:val="24"/>
              </w:rPr>
              <w:t>E1HW</w:t>
            </w:r>
          </w:p>
        </w:tc>
        <w:tc>
          <w:tcPr>
            <w:tcW w:w="5463" w:type="dxa"/>
          </w:tcPr>
          <w:p w:rsidR="004013DA" w:rsidRPr="00254AE0" w:rsidRDefault="00254AE0" w:rsidP="00254AE0">
            <w:pPr>
              <w:jc w:val="both"/>
              <w:rPr>
                <w:rFonts w:ascii="Arial" w:hAnsi="Arial" w:cs="Arial"/>
                <w:sz w:val="24"/>
                <w:szCs w:val="24"/>
              </w:rPr>
            </w:pPr>
            <w:r w:rsidRPr="00254AE0">
              <w:rPr>
                <w:rFonts w:ascii="Arial" w:hAnsi="Arial" w:cs="Arial"/>
                <w:sz w:val="24"/>
                <w:szCs w:val="24"/>
              </w:rPr>
              <w:t>Las Escuelas Normales se han mantenido al margen del proyecto de internacionalización, no se han tomado en cuenta, su  estructura y funcionamiento  son diferentes, en México una política integral es aun complicada.</w:t>
            </w:r>
          </w:p>
        </w:tc>
      </w:tr>
      <w:tr w:rsidR="004013DA" w:rsidRPr="004013DA" w:rsidTr="00254AE0">
        <w:tc>
          <w:tcPr>
            <w:tcW w:w="1792" w:type="dxa"/>
          </w:tcPr>
          <w:p w:rsidR="004013DA" w:rsidRPr="004013DA" w:rsidRDefault="004013DA" w:rsidP="004013DA">
            <w:pPr>
              <w:rPr>
                <w:sz w:val="24"/>
                <w:szCs w:val="24"/>
              </w:rPr>
            </w:pPr>
          </w:p>
        </w:tc>
        <w:tc>
          <w:tcPr>
            <w:tcW w:w="1799" w:type="dxa"/>
          </w:tcPr>
          <w:p w:rsidR="004013DA" w:rsidRPr="004013DA" w:rsidRDefault="00254AE0" w:rsidP="004013DA">
            <w:pPr>
              <w:rPr>
                <w:sz w:val="24"/>
                <w:szCs w:val="24"/>
              </w:rPr>
            </w:pPr>
            <w:r>
              <w:t>E1</w:t>
            </w:r>
            <w:r w:rsidR="005C2193">
              <w:t>IEEN</w:t>
            </w:r>
            <w:r>
              <w:t>031215</w:t>
            </w:r>
          </w:p>
        </w:tc>
        <w:tc>
          <w:tcPr>
            <w:tcW w:w="5463" w:type="dxa"/>
          </w:tcPr>
          <w:p w:rsidR="004013DA" w:rsidRPr="00254AE0" w:rsidRDefault="00254AE0" w:rsidP="00254AE0">
            <w:pPr>
              <w:jc w:val="both"/>
              <w:rPr>
                <w:rFonts w:ascii="Arial" w:hAnsi="Arial" w:cs="Arial"/>
                <w:sz w:val="24"/>
                <w:szCs w:val="24"/>
              </w:rPr>
            </w:pPr>
            <w:r w:rsidRPr="00254AE0">
              <w:rPr>
                <w:rFonts w:ascii="Arial" w:hAnsi="Arial" w:cs="Arial"/>
                <w:sz w:val="24"/>
                <w:szCs w:val="24"/>
              </w:rPr>
              <w:t>“El presupuesto para investigación se asigna desde una planeación institucional, pero este siempre ha sido insuficiente cuando lo hay”(pregunta 6)</w:t>
            </w:r>
          </w:p>
        </w:tc>
      </w:tr>
      <w:tr w:rsidR="004013DA" w:rsidRPr="004013DA" w:rsidTr="00254AE0">
        <w:tc>
          <w:tcPr>
            <w:tcW w:w="1792" w:type="dxa"/>
          </w:tcPr>
          <w:p w:rsidR="004013DA" w:rsidRPr="004013DA" w:rsidRDefault="004013DA" w:rsidP="004013DA">
            <w:pPr>
              <w:rPr>
                <w:sz w:val="24"/>
                <w:szCs w:val="24"/>
              </w:rPr>
            </w:pPr>
          </w:p>
        </w:tc>
        <w:tc>
          <w:tcPr>
            <w:tcW w:w="1799" w:type="dxa"/>
          </w:tcPr>
          <w:p w:rsidR="004013DA" w:rsidRPr="004013DA" w:rsidRDefault="00254AE0" w:rsidP="004013DA">
            <w:pPr>
              <w:rPr>
                <w:sz w:val="24"/>
                <w:szCs w:val="24"/>
              </w:rPr>
            </w:pPr>
            <w:r>
              <w:t>A1ANUIES271115</w:t>
            </w:r>
          </w:p>
        </w:tc>
        <w:tc>
          <w:tcPr>
            <w:tcW w:w="5463" w:type="dxa"/>
          </w:tcPr>
          <w:p w:rsidR="00254AE0" w:rsidRPr="00254AE0" w:rsidRDefault="00254AE0" w:rsidP="00254AE0">
            <w:pPr>
              <w:jc w:val="both"/>
              <w:rPr>
                <w:rFonts w:ascii="Arial" w:hAnsi="Arial" w:cs="Arial"/>
                <w:sz w:val="24"/>
                <w:szCs w:val="24"/>
              </w:rPr>
            </w:pPr>
            <w:r w:rsidRPr="00254AE0">
              <w:rPr>
                <w:rFonts w:ascii="Arial" w:hAnsi="Arial" w:cs="Arial"/>
                <w:sz w:val="24"/>
                <w:szCs w:val="24"/>
              </w:rPr>
              <w:t xml:space="preserve">“El propósito fundamental de la conferencia internacional de la educación superior  es consolidar la  unidad universitaria y al mismo tiempo discutir las nuevas tendencias de nuevos programas  y políticas nacionales  para el desarrollo académico, por que todos  creemos que  la educación superior  es el medio eficaz para multiplicar  oportunidades individuales  y sociales para enfrentar carencias y rezagos por medio del  conocimiento “ </w:t>
            </w:r>
          </w:p>
          <w:p w:rsidR="00254AE0" w:rsidRPr="00254AE0" w:rsidRDefault="00254AE0" w:rsidP="00254AE0">
            <w:pPr>
              <w:jc w:val="both"/>
              <w:rPr>
                <w:rFonts w:ascii="Arial" w:hAnsi="Arial" w:cs="Arial"/>
                <w:sz w:val="24"/>
                <w:szCs w:val="24"/>
              </w:rPr>
            </w:pPr>
            <w:r w:rsidRPr="00254AE0">
              <w:rPr>
                <w:rFonts w:ascii="Arial" w:hAnsi="Arial" w:cs="Arial"/>
                <w:sz w:val="24"/>
                <w:szCs w:val="24"/>
              </w:rPr>
              <w:t xml:space="preserve">Objetivos del plan de desarrollo  y el  Programa nacional de  educación con los siguientes ejes de gestión: </w:t>
            </w:r>
          </w:p>
          <w:p w:rsidR="00254AE0" w:rsidRPr="00254AE0" w:rsidRDefault="00254AE0" w:rsidP="00254AE0">
            <w:pPr>
              <w:numPr>
                <w:ilvl w:val="0"/>
                <w:numId w:val="6"/>
              </w:numPr>
              <w:spacing w:line="360" w:lineRule="auto"/>
              <w:contextualSpacing/>
              <w:jc w:val="both"/>
              <w:rPr>
                <w:rFonts w:ascii="Arial" w:eastAsiaTheme="minorEastAsia" w:hAnsi="Arial" w:cs="Arial"/>
                <w:sz w:val="24"/>
                <w:szCs w:val="24"/>
                <w:lang w:eastAsia="es-MX"/>
              </w:rPr>
            </w:pPr>
            <w:r w:rsidRPr="00254AE0">
              <w:rPr>
                <w:rFonts w:ascii="Arial" w:eastAsiaTheme="minorEastAsia" w:hAnsi="Arial" w:cs="Arial"/>
                <w:sz w:val="24"/>
                <w:szCs w:val="24"/>
                <w:lang w:eastAsia="es-MX"/>
              </w:rPr>
              <w:t xml:space="preserve">Responsabilidad social universitaria, formulación del programa de vinculación social, mejora de la gestión institucional y desarrollo de habilidades fortalecimiento de la transparencia y rendición de cuentas en las escuelas </w:t>
            </w:r>
          </w:p>
          <w:p w:rsidR="004013DA" w:rsidRPr="004013DA" w:rsidRDefault="00254AE0" w:rsidP="00254AE0">
            <w:pPr>
              <w:jc w:val="both"/>
              <w:rPr>
                <w:sz w:val="24"/>
                <w:szCs w:val="24"/>
              </w:rPr>
            </w:pPr>
            <w:r w:rsidRPr="00254AE0">
              <w:rPr>
                <w:rFonts w:ascii="Arial" w:hAnsi="Arial" w:cs="Arial"/>
                <w:sz w:val="24"/>
                <w:szCs w:val="24"/>
              </w:rPr>
              <w:t xml:space="preserve">la política del estado para el financiamiento que tiene que ver con la formulación de un modelo de financiamiento para la Educación Superior la reestructura de los fondos y la atención de </w:t>
            </w:r>
            <w:r w:rsidRPr="00254AE0">
              <w:rPr>
                <w:rFonts w:ascii="Arial" w:hAnsi="Arial" w:cs="Arial"/>
                <w:sz w:val="24"/>
                <w:szCs w:val="24"/>
              </w:rPr>
              <w:lastRenderedPageBreak/>
              <w:t>escuelas públicas con problemas de Educación –Superior, instituto para desarrollar propuestas para problemas estructurales la ANUIES se organiza para tomar acuerdos con la SEP.</w:t>
            </w:r>
          </w:p>
        </w:tc>
      </w:tr>
    </w:tbl>
    <w:p w:rsidR="00232121" w:rsidRDefault="00254AE0" w:rsidP="005C2193">
      <w:pPr>
        <w:spacing w:after="0" w:line="240" w:lineRule="auto"/>
        <w:rPr>
          <w:rFonts w:ascii="Arial" w:hAnsi="Arial" w:cs="Arial"/>
          <w:sz w:val="16"/>
          <w:szCs w:val="16"/>
        </w:rPr>
      </w:pPr>
      <w:r w:rsidRPr="005C2193">
        <w:rPr>
          <w:rFonts w:ascii="Arial" w:hAnsi="Arial" w:cs="Arial"/>
          <w:sz w:val="16"/>
          <w:szCs w:val="16"/>
        </w:rPr>
        <w:lastRenderedPageBreak/>
        <w:t>*</w:t>
      </w:r>
      <w:r w:rsidR="004013DA" w:rsidRPr="005C2193">
        <w:rPr>
          <w:rFonts w:ascii="Arial" w:hAnsi="Arial" w:cs="Arial"/>
          <w:sz w:val="16"/>
          <w:szCs w:val="16"/>
        </w:rPr>
        <w:t>E1DENT: Entrevista a dir</w:t>
      </w:r>
      <w:r w:rsidRPr="005C2193">
        <w:rPr>
          <w:rFonts w:ascii="Arial" w:hAnsi="Arial" w:cs="Arial"/>
          <w:sz w:val="16"/>
          <w:szCs w:val="16"/>
        </w:rPr>
        <w:t xml:space="preserve">ectivo de Esc. Normal, </w:t>
      </w:r>
      <w:r w:rsidR="004013DA" w:rsidRPr="005C2193">
        <w:rPr>
          <w:rFonts w:ascii="Arial" w:hAnsi="Arial" w:cs="Arial"/>
          <w:sz w:val="16"/>
          <w:szCs w:val="16"/>
        </w:rPr>
        <w:t>NA1.07122015 Nota de análisis uno con fecha.</w:t>
      </w:r>
      <w:r w:rsidRPr="005C2193">
        <w:rPr>
          <w:rFonts w:ascii="Arial" w:hAnsi="Arial" w:cs="Arial"/>
          <w:sz w:val="16"/>
          <w:szCs w:val="16"/>
        </w:rPr>
        <w:t xml:space="preserve"> E1HW Entrevista Hans de Wit </w:t>
      </w:r>
      <w:r w:rsidR="005C2193" w:rsidRPr="005C2193">
        <w:rPr>
          <w:rFonts w:ascii="Arial" w:eastAsia="+mn-ea" w:hAnsi="Arial" w:cs="Arial"/>
          <w:color w:val="000000"/>
          <w:sz w:val="16"/>
          <w:szCs w:val="16"/>
          <w:lang w:eastAsia="es-MX"/>
        </w:rPr>
        <w:t>Director  Center for  International Higher Education</w:t>
      </w:r>
      <w:r w:rsidR="005C2193">
        <w:rPr>
          <w:rFonts w:ascii="Times New Roman" w:eastAsia="Times New Roman" w:hAnsi="Times New Roman" w:cs="Times New Roman"/>
          <w:sz w:val="24"/>
          <w:szCs w:val="24"/>
          <w:lang w:eastAsia="es-MX"/>
        </w:rPr>
        <w:t xml:space="preserve">. </w:t>
      </w:r>
      <w:r>
        <w:rPr>
          <w:rFonts w:ascii="Arial" w:hAnsi="Arial" w:cs="Arial"/>
          <w:sz w:val="16"/>
          <w:szCs w:val="16"/>
        </w:rPr>
        <w:t xml:space="preserve"> </w:t>
      </w:r>
      <w:r w:rsidR="004013DA" w:rsidRPr="00254AE0">
        <w:rPr>
          <w:rFonts w:ascii="Arial" w:hAnsi="Arial" w:cs="Arial"/>
          <w:sz w:val="16"/>
          <w:szCs w:val="16"/>
        </w:rPr>
        <w:t>E1IEENT031215: Entrevista uno, Investigador Educat</w:t>
      </w:r>
      <w:r w:rsidR="005C2193">
        <w:rPr>
          <w:rFonts w:ascii="Arial" w:hAnsi="Arial" w:cs="Arial"/>
          <w:sz w:val="16"/>
          <w:szCs w:val="16"/>
        </w:rPr>
        <w:t>ivo de la Esc. Normal</w:t>
      </w:r>
      <w:r w:rsidR="004013DA" w:rsidRPr="00254AE0">
        <w:rPr>
          <w:rFonts w:ascii="Arial" w:hAnsi="Arial" w:cs="Arial"/>
          <w:sz w:val="16"/>
          <w:szCs w:val="16"/>
        </w:rPr>
        <w:t xml:space="preserve"> con fecha</w:t>
      </w:r>
      <w:r w:rsidR="005C2193">
        <w:rPr>
          <w:rFonts w:ascii="Arial" w:hAnsi="Arial" w:cs="Arial"/>
          <w:sz w:val="16"/>
          <w:szCs w:val="16"/>
        </w:rPr>
        <w:t>. A1 audio, nú</w:t>
      </w:r>
      <w:r w:rsidR="004013DA" w:rsidRPr="00254AE0">
        <w:rPr>
          <w:rFonts w:ascii="Arial" w:hAnsi="Arial" w:cs="Arial"/>
          <w:sz w:val="16"/>
          <w:szCs w:val="16"/>
        </w:rPr>
        <w:t>mero,  evento y fecha</w:t>
      </w:r>
      <w:r w:rsidR="005C2193">
        <w:rPr>
          <w:rFonts w:ascii="Arial" w:hAnsi="Arial" w:cs="Arial"/>
          <w:sz w:val="16"/>
          <w:szCs w:val="16"/>
        </w:rPr>
        <w:t xml:space="preserve">. </w:t>
      </w:r>
      <w:r>
        <w:rPr>
          <w:rFonts w:ascii="Arial" w:hAnsi="Arial" w:cs="Arial"/>
          <w:sz w:val="16"/>
          <w:szCs w:val="16"/>
        </w:rPr>
        <w:t xml:space="preserve"> </w:t>
      </w:r>
    </w:p>
    <w:p w:rsidR="005C2193" w:rsidRDefault="00435AD7" w:rsidP="004A226A">
      <w:pPr>
        <w:spacing w:line="480" w:lineRule="auto"/>
        <w:jc w:val="both"/>
        <w:rPr>
          <w:rFonts w:ascii="Arial" w:hAnsi="Arial" w:cs="Arial"/>
          <w:sz w:val="24"/>
          <w:szCs w:val="24"/>
        </w:rPr>
      </w:pP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r w:rsidRPr="004A226A">
        <w:rPr>
          <w:rFonts w:ascii="Arial" w:hAnsi="Arial" w:cs="Arial"/>
          <w:sz w:val="24"/>
          <w:szCs w:val="24"/>
        </w:rPr>
        <w:tab/>
      </w:r>
    </w:p>
    <w:p w:rsidR="005C2193" w:rsidRPr="00F628E1" w:rsidRDefault="005C2193" w:rsidP="005C2193">
      <w:pPr>
        <w:pStyle w:val="Prrafodelista"/>
        <w:numPr>
          <w:ilvl w:val="0"/>
          <w:numId w:val="3"/>
        </w:numPr>
        <w:spacing w:line="480" w:lineRule="auto"/>
        <w:jc w:val="both"/>
        <w:rPr>
          <w:rFonts w:ascii="Arial" w:hAnsi="Arial" w:cs="Arial"/>
          <w:b/>
          <w:sz w:val="24"/>
          <w:szCs w:val="24"/>
        </w:rPr>
      </w:pPr>
      <w:r w:rsidRPr="00F628E1">
        <w:rPr>
          <w:rFonts w:ascii="Arial" w:hAnsi="Arial" w:cs="Arial"/>
          <w:b/>
          <w:sz w:val="24"/>
          <w:szCs w:val="24"/>
        </w:rPr>
        <w:t>Primeros  hallazgos</w:t>
      </w:r>
    </w:p>
    <w:p w:rsidR="005C2193" w:rsidRDefault="005C2193" w:rsidP="005C2193">
      <w:pPr>
        <w:spacing w:line="480" w:lineRule="auto"/>
        <w:jc w:val="both"/>
        <w:rPr>
          <w:rFonts w:ascii="Arial" w:hAnsi="Arial" w:cs="Arial"/>
          <w:sz w:val="24"/>
          <w:szCs w:val="24"/>
        </w:rPr>
      </w:pPr>
      <w:r>
        <w:rPr>
          <w:rFonts w:ascii="Arial" w:hAnsi="Arial" w:cs="Arial"/>
          <w:sz w:val="24"/>
          <w:szCs w:val="24"/>
        </w:rPr>
        <w:t>La estructura rígida y la excesiva reglamentación al momento de  realizar la actividad de la planeación obstaculizan el desarrollo  académico en términos de una  planeación estratégica con eficiencia y eficacia. La organización por departamentos  que desde su creación han caracterizado  a la escuela normal,  aunado  a la falta de un proyecto político sustentado en la misión y la visión  institucionales  han desencadenado un estancamiento en el cambio y la  innovación que les permita lograr un status de  institución de educación superior.</w:t>
      </w:r>
    </w:p>
    <w:p w:rsidR="005C2193" w:rsidRPr="005C2193" w:rsidRDefault="007053D4" w:rsidP="005C2193">
      <w:pPr>
        <w:spacing w:line="480" w:lineRule="auto"/>
        <w:jc w:val="both"/>
        <w:rPr>
          <w:rFonts w:ascii="Arial" w:hAnsi="Arial" w:cs="Arial"/>
          <w:sz w:val="24"/>
          <w:szCs w:val="24"/>
        </w:rPr>
      </w:pPr>
      <w:r w:rsidRPr="007053D4">
        <w:rPr>
          <w:rFonts w:ascii="Arial" w:hAnsi="Arial" w:cs="Arial"/>
          <w:sz w:val="24"/>
          <w:szCs w:val="24"/>
        </w:rPr>
        <w:t>Además de la rigidez de la  estructura y de la normatividad existe la fragmentación o ruptura de planteamientos iniciales  debido a las decisiones que se tienen que tomar  en circunstancias coyunturales  de la  política  educativa  establecida por el estado,  a las  contingencias momentáneas en las que parece perderse la misión y la visión, respondiendo a cuestiones inmediatas del contexto y que dificultan en un segundo momento el reencause a su misión y visión de origen pasando por los objetivos.</w:t>
      </w:r>
      <w:r>
        <w:rPr>
          <w:rFonts w:ascii="Arial" w:hAnsi="Arial" w:cs="Arial"/>
          <w:sz w:val="24"/>
          <w:szCs w:val="24"/>
        </w:rPr>
        <w:t xml:space="preserve"> </w:t>
      </w: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7053D4" w:rsidRDefault="007053D4" w:rsidP="007053D4">
      <w:pPr>
        <w:spacing w:line="480" w:lineRule="auto"/>
        <w:jc w:val="both"/>
        <w:rPr>
          <w:rFonts w:ascii="Arial" w:hAnsi="Arial" w:cs="Arial"/>
          <w:sz w:val="24"/>
          <w:szCs w:val="24"/>
        </w:rPr>
      </w:pPr>
    </w:p>
    <w:p w:rsidR="00355081" w:rsidRPr="00973789" w:rsidRDefault="00355081" w:rsidP="007053D4">
      <w:pPr>
        <w:spacing w:line="480" w:lineRule="auto"/>
        <w:jc w:val="both"/>
        <w:rPr>
          <w:rFonts w:ascii="Arial" w:hAnsi="Arial" w:cs="Arial"/>
          <w:sz w:val="24"/>
          <w:szCs w:val="24"/>
        </w:rPr>
      </w:pPr>
      <w:r w:rsidRPr="007053D4">
        <w:rPr>
          <w:rFonts w:ascii="Arial" w:hAnsi="Arial" w:cs="Arial"/>
          <w:sz w:val="24"/>
          <w:szCs w:val="24"/>
        </w:rPr>
        <w:t>Referencias</w:t>
      </w:r>
      <w:r w:rsidRPr="00973789">
        <w:rPr>
          <w:rFonts w:ascii="Arial" w:hAnsi="Arial" w:cs="Arial"/>
          <w:sz w:val="24"/>
          <w:szCs w:val="24"/>
        </w:rPr>
        <w:fldChar w:fldCharType="begin"/>
      </w:r>
      <w:r w:rsidRPr="00973789">
        <w:rPr>
          <w:rFonts w:ascii="Arial" w:hAnsi="Arial" w:cs="Arial"/>
          <w:sz w:val="24"/>
          <w:szCs w:val="24"/>
        </w:rPr>
        <w:instrText xml:space="preserve"> BIBLIOGRAPHY  \l 2058 </w:instrText>
      </w:r>
      <w:r w:rsidRPr="00973789">
        <w:rPr>
          <w:rFonts w:ascii="Arial" w:hAnsi="Arial" w:cs="Arial"/>
          <w:sz w:val="24"/>
          <w:szCs w:val="24"/>
        </w:rPr>
        <w:fldChar w:fldCharType="separate"/>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Ángel, V. N. (Num 62, diciembre 2011). Reconfiguracion de la profesión academica en las Escuelas Normales. </w:t>
      </w:r>
      <w:r w:rsidRPr="00973789">
        <w:rPr>
          <w:rFonts w:ascii="Arial" w:hAnsi="Arial" w:cs="Arial"/>
          <w:i/>
          <w:iCs/>
          <w:noProof/>
          <w:sz w:val="24"/>
          <w:szCs w:val="24"/>
        </w:rPr>
        <w:t>Redalyc</w:t>
      </w:r>
      <w:r w:rsidRPr="00973789">
        <w:rPr>
          <w:rFonts w:ascii="Arial" w:hAnsi="Arial" w:cs="Arial"/>
          <w:noProof/>
          <w:sz w:val="24"/>
          <w:szCs w:val="24"/>
        </w:rPr>
        <w:t>, 82-87.</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Araujo, G. A. (2014). </w:t>
      </w:r>
      <w:r w:rsidRPr="00973789">
        <w:rPr>
          <w:rFonts w:ascii="Arial" w:hAnsi="Arial" w:cs="Arial"/>
          <w:i/>
          <w:iCs/>
          <w:noProof/>
          <w:sz w:val="24"/>
          <w:szCs w:val="24"/>
        </w:rPr>
        <w:t>Orientaciones y Prácticas en la Formación de Profesores.</w:t>
      </w:r>
      <w:r w:rsidRPr="00973789">
        <w:rPr>
          <w:rFonts w:ascii="Arial" w:hAnsi="Arial" w:cs="Arial"/>
          <w:noProof/>
          <w:sz w:val="24"/>
          <w:szCs w:val="24"/>
        </w:rPr>
        <w:t xml:space="preserve"> Toluca, Estado de México: ISCEEM.</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Arellano, G. D. (2013). </w:t>
      </w:r>
      <w:r w:rsidRPr="00973789">
        <w:rPr>
          <w:rFonts w:ascii="Arial" w:hAnsi="Arial" w:cs="Arial"/>
          <w:i/>
          <w:iCs/>
          <w:noProof/>
          <w:sz w:val="24"/>
          <w:szCs w:val="24"/>
        </w:rPr>
        <w:t>Gestión Estrategica para el sector público. Del pensamiento estratégico al cambio organizacional.</w:t>
      </w:r>
      <w:r w:rsidRPr="00973789">
        <w:rPr>
          <w:rFonts w:ascii="Arial" w:hAnsi="Arial" w:cs="Arial"/>
          <w:noProof/>
          <w:sz w:val="24"/>
          <w:szCs w:val="24"/>
        </w:rPr>
        <w:t xml:space="preserve"> México: Fondo de Cultura Económica.</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Arnaut, A. y. (2010). </w:t>
      </w:r>
      <w:r w:rsidRPr="00973789">
        <w:rPr>
          <w:rFonts w:ascii="Arial" w:hAnsi="Arial" w:cs="Arial"/>
          <w:i/>
          <w:iCs/>
          <w:noProof/>
          <w:sz w:val="24"/>
          <w:szCs w:val="24"/>
        </w:rPr>
        <w:t>Los grandes problemas de México. VII Educación.</w:t>
      </w:r>
      <w:r w:rsidRPr="00973789">
        <w:rPr>
          <w:rFonts w:ascii="Arial" w:hAnsi="Arial" w:cs="Arial"/>
          <w:noProof/>
          <w:sz w:val="24"/>
          <w:szCs w:val="24"/>
        </w:rPr>
        <w:t xml:space="preserve"> México D. F.: Colegio de Mexico .</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Berger, L. P. (2013). </w:t>
      </w:r>
      <w:r w:rsidRPr="00973789">
        <w:rPr>
          <w:rFonts w:ascii="Arial" w:hAnsi="Arial" w:cs="Arial"/>
          <w:i/>
          <w:iCs/>
          <w:noProof/>
          <w:sz w:val="24"/>
          <w:szCs w:val="24"/>
        </w:rPr>
        <w:t>La construcción social de la realidad</w:t>
      </w:r>
      <w:r w:rsidRPr="00973789">
        <w:rPr>
          <w:rFonts w:ascii="Arial" w:hAnsi="Arial" w:cs="Arial"/>
          <w:noProof/>
          <w:sz w:val="24"/>
          <w:szCs w:val="24"/>
        </w:rPr>
        <w:t xml:space="preserve"> (Duodécima reimpresión ed.). Buenos Aires, Argentina: Amorrortu Editores.</w:t>
      </w:r>
    </w:p>
    <w:p w:rsidR="00355081"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Bernales, E. B. (s.f.). Una opción de desarrollo académico; El post-grado en ciencias sociales. 105-111.</w:t>
      </w:r>
    </w:p>
    <w:p w:rsidR="00355081" w:rsidRDefault="00355081" w:rsidP="00355081">
      <w:pPr>
        <w:spacing w:after="0"/>
        <w:rPr>
          <w:rFonts w:ascii="Arial" w:hAnsi="Arial" w:cs="Arial"/>
        </w:rPr>
      </w:pPr>
      <w:r>
        <w:rPr>
          <w:rFonts w:ascii="Arial" w:hAnsi="Arial" w:cs="Arial"/>
        </w:rPr>
        <w:t xml:space="preserve">COPAES, sitio oficial en:  </w:t>
      </w:r>
    </w:p>
    <w:p w:rsidR="00355081" w:rsidRPr="00B05C1B" w:rsidRDefault="00987101" w:rsidP="00355081">
      <w:pPr>
        <w:spacing w:after="0"/>
        <w:rPr>
          <w:rFonts w:ascii="Arial" w:hAnsi="Arial" w:cs="Arial"/>
          <w:color w:val="0000FF" w:themeColor="hyperlink"/>
          <w:u w:val="single"/>
        </w:rPr>
      </w:pPr>
      <w:hyperlink r:id="rId8" w:history="1">
        <w:r w:rsidR="00355081">
          <w:rPr>
            <w:rStyle w:val="Hipervnculo"/>
            <w:rFonts w:ascii="Arial" w:hAnsi="Arial" w:cs="Arial"/>
          </w:rPr>
          <w:t>http://www.copaes.org/</w:t>
        </w:r>
      </w:hyperlink>
    </w:p>
    <w:p w:rsidR="00355081" w:rsidRDefault="00355081" w:rsidP="00355081">
      <w:pPr>
        <w:spacing w:after="0" w:line="360" w:lineRule="auto"/>
        <w:jc w:val="both"/>
        <w:rPr>
          <w:rFonts w:ascii="Arial" w:hAnsi="Arial" w:cs="Arial"/>
          <w:sz w:val="24"/>
          <w:szCs w:val="24"/>
        </w:rPr>
      </w:pPr>
      <w:r>
        <w:rPr>
          <w:rFonts w:ascii="Arial" w:hAnsi="Arial" w:cs="Arial"/>
          <w:sz w:val="24"/>
          <w:szCs w:val="24"/>
        </w:rPr>
        <w:t>DGESPE, (2015)  recuperado en:</w:t>
      </w:r>
    </w:p>
    <w:p w:rsidR="00355081" w:rsidRPr="00973789" w:rsidRDefault="00355081" w:rsidP="00355081">
      <w:pPr>
        <w:spacing w:after="0" w:line="360" w:lineRule="auto"/>
        <w:jc w:val="both"/>
      </w:pPr>
      <w:r>
        <w:t xml:space="preserve"> </w:t>
      </w:r>
      <w:hyperlink r:id="rId9" w:history="1">
        <w:r>
          <w:rPr>
            <w:rStyle w:val="Hipervnculo"/>
            <w:rFonts w:ascii="Arial" w:eastAsia="Times New Roman" w:hAnsi="Arial" w:cs="Arial"/>
            <w:sz w:val="24"/>
            <w:szCs w:val="24"/>
            <w:lang w:eastAsia="es-MX"/>
          </w:rPr>
          <w:t>http://www.dgespe.sep.gob.mx/acerca_de</w:t>
        </w:r>
      </w:hyperlink>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lastRenderedPageBreak/>
        <w:t xml:space="preserve">DOF. (2013). </w:t>
      </w:r>
      <w:r w:rsidRPr="00973789">
        <w:rPr>
          <w:rFonts w:ascii="Arial" w:hAnsi="Arial" w:cs="Arial"/>
          <w:i/>
          <w:iCs/>
          <w:noProof/>
          <w:sz w:val="24"/>
          <w:szCs w:val="24"/>
        </w:rPr>
        <w:t>Sitio web PND Opens external link in new windowhttp://pnd.gob.mx/.</w:t>
      </w:r>
      <w:r w:rsidRPr="00973789">
        <w:rPr>
          <w:rFonts w:ascii="Arial" w:hAnsi="Arial" w:cs="Arial"/>
          <w:noProof/>
          <w:sz w:val="24"/>
          <w:szCs w:val="24"/>
        </w:rPr>
        <w:t xml:space="preserve"> Recuperado el febrero de 2013, de http://www.sct.gob.mx/despliega-noticias/article/plan-nacional-de-desarrollo/</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Ducoing, W. P. (2013). </w:t>
      </w:r>
      <w:r w:rsidRPr="00973789">
        <w:rPr>
          <w:rFonts w:ascii="Arial" w:hAnsi="Arial" w:cs="Arial"/>
          <w:i/>
          <w:iCs/>
          <w:noProof/>
          <w:sz w:val="24"/>
          <w:szCs w:val="24"/>
        </w:rPr>
        <w:t>La Escuela Normal. Una mirada desde el otro.</w:t>
      </w:r>
      <w:r w:rsidRPr="00973789">
        <w:rPr>
          <w:rFonts w:ascii="Arial" w:hAnsi="Arial" w:cs="Arial"/>
          <w:noProof/>
          <w:sz w:val="24"/>
          <w:szCs w:val="24"/>
        </w:rPr>
        <w:t xml:space="preserve"> México, D. F.: IISUE.</w:t>
      </w:r>
    </w:p>
    <w:p w:rsidR="00355081" w:rsidRPr="00973789" w:rsidRDefault="00355081" w:rsidP="00355081">
      <w:pPr>
        <w:rPr>
          <w:rFonts w:ascii="Arial" w:hAnsi="Arial" w:cs="Arial"/>
          <w:sz w:val="24"/>
          <w:szCs w:val="24"/>
        </w:rPr>
      </w:pPr>
      <w:r w:rsidRPr="00973789">
        <w:rPr>
          <w:rFonts w:ascii="Arial" w:hAnsi="Arial" w:cs="Arial"/>
          <w:sz w:val="24"/>
          <w:szCs w:val="24"/>
        </w:rPr>
        <w:t>Dussel, Peters Enrique  (2009) El aparato productivo Mexicano.  Entre la crisis global y el caos de la política nacional.  En revista Nueva sociedad No. 220.</w:t>
      </w:r>
    </w:p>
    <w:p w:rsidR="00355081"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Eduardo, I. C. (2001). </w:t>
      </w:r>
      <w:r w:rsidRPr="00973789">
        <w:rPr>
          <w:rFonts w:ascii="Arial" w:hAnsi="Arial" w:cs="Arial"/>
          <w:i/>
          <w:iCs/>
          <w:noProof/>
          <w:sz w:val="24"/>
          <w:szCs w:val="24"/>
        </w:rPr>
        <w:t>La universidad en México hoy: gubernamentalidad y modernización</w:t>
      </w:r>
      <w:r w:rsidRPr="00973789">
        <w:rPr>
          <w:rFonts w:ascii="Arial" w:hAnsi="Arial" w:cs="Arial"/>
          <w:noProof/>
          <w:sz w:val="24"/>
          <w:szCs w:val="24"/>
        </w:rPr>
        <w:t xml:space="preserve"> (Primera ed.). México, D. F.: UNAM.</w:t>
      </w:r>
    </w:p>
    <w:p w:rsidR="00355081" w:rsidRPr="0072671E" w:rsidRDefault="00355081" w:rsidP="00355081">
      <w:pPr>
        <w:rPr>
          <w:rFonts w:ascii="Arial" w:hAnsi="Arial" w:cs="Arial"/>
          <w:sz w:val="24"/>
          <w:szCs w:val="24"/>
        </w:rPr>
      </w:pPr>
      <w:r w:rsidRPr="0072671E">
        <w:rPr>
          <w:rFonts w:ascii="Arial" w:hAnsi="Arial" w:cs="Arial"/>
          <w:sz w:val="24"/>
          <w:szCs w:val="24"/>
        </w:rPr>
        <w:t>Hyman, Herbert (1984)</w:t>
      </w:r>
      <w:r>
        <w:rPr>
          <w:rFonts w:ascii="Arial" w:hAnsi="Arial" w:cs="Arial"/>
          <w:sz w:val="24"/>
          <w:szCs w:val="24"/>
        </w:rPr>
        <w:t xml:space="preserve"> Diseño y análisis de  encuestas sociales, Argentina: Amorrortu.</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López, L. A. (2011). </w:t>
      </w:r>
      <w:r w:rsidRPr="00973789">
        <w:rPr>
          <w:rFonts w:ascii="Arial" w:hAnsi="Arial" w:cs="Arial"/>
          <w:i/>
          <w:iCs/>
          <w:noProof/>
          <w:sz w:val="24"/>
          <w:szCs w:val="24"/>
        </w:rPr>
        <w:t>¿Cambio sin impacto? El Programa Institucional de Fortalecimiento Institucional. El caso dela UPN.</w:t>
      </w:r>
      <w:r w:rsidRPr="00973789">
        <w:rPr>
          <w:rFonts w:ascii="Arial" w:hAnsi="Arial" w:cs="Arial"/>
          <w:noProof/>
          <w:sz w:val="24"/>
          <w:szCs w:val="24"/>
        </w:rPr>
        <w:t xml:space="preserve"> FLACSO.</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Mayntz, R. K. (1983). </w:t>
      </w:r>
      <w:r w:rsidRPr="00973789">
        <w:rPr>
          <w:rFonts w:ascii="Arial" w:hAnsi="Arial" w:cs="Arial"/>
          <w:i/>
          <w:iCs/>
          <w:noProof/>
          <w:sz w:val="24"/>
          <w:szCs w:val="24"/>
        </w:rPr>
        <w:t>Introducción a los Métodos de la Sociología Empírica.</w:t>
      </w:r>
      <w:r w:rsidRPr="00973789">
        <w:rPr>
          <w:rFonts w:ascii="Arial" w:hAnsi="Arial" w:cs="Arial"/>
          <w:noProof/>
          <w:sz w:val="24"/>
          <w:szCs w:val="24"/>
        </w:rPr>
        <w:t xml:space="preserve"> España: Alianza, Universidad.</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Medina, M. P. (2000). </w:t>
      </w:r>
      <w:r w:rsidRPr="00973789">
        <w:rPr>
          <w:rFonts w:ascii="Arial" w:hAnsi="Arial" w:cs="Arial"/>
          <w:i/>
          <w:iCs/>
          <w:noProof/>
          <w:sz w:val="24"/>
          <w:szCs w:val="24"/>
        </w:rPr>
        <w:t>Eres maestro normalista y/o profesor universitario? La docencia cuestionada.</w:t>
      </w:r>
      <w:r w:rsidRPr="00973789">
        <w:rPr>
          <w:rFonts w:ascii="Arial" w:hAnsi="Arial" w:cs="Arial"/>
          <w:noProof/>
          <w:sz w:val="24"/>
          <w:szCs w:val="24"/>
        </w:rPr>
        <w:t xml:space="preserve"> UPN: Plaza y Valdes Editores .</w:t>
      </w:r>
    </w:p>
    <w:p w:rsidR="00355081" w:rsidRDefault="00355081" w:rsidP="007053D4">
      <w:pPr>
        <w:pStyle w:val="Bibliografa"/>
        <w:ind w:left="720" w:hanging="720"/>
        <w:rPr>
          <w:rFonts w:ascii="Arial" w:hAnsi="Arial" w:cs="Arial"/>
          <w:noProof/>
          <w:sz w:val="24"/>
          <w:szCs w:val="24"/>
        </w:rPr>
      </w:pPr>
      <w:r w:rsidRPr="00973789">
        <w:rPr>
          <w:rFonts w:ascii="Arial" w:hAnsi="Arial" w:cs="Arial"/>
          <w:noProof/>
          <w:sz w:val="24"/>
          <w:szCs w:val="24"/>
        </w:rPr>
        <w:t xml:space="preserve">México, G. d. (2007). </w:t>
      </w:r>
      <w:r w:rsidRPr="00973789">
        <w:rPr>
          <w:rFonts w:ascii="Arial" w:hAnsi="Arial" w:cs="Arial"/>
          <w:i/>
          <w:iCs/>
          <w:noProof/>
          <w:sz w:val="24"/>
          <w:szCs w:val="24"/>
        </w:rPr>
        <w:t>Manual de organización de las Escuelas Normales del Estado .</w:t>
      </w:r>
      <w:r w:rsidRPr="00973789">
        <w:rPr>
          <w:rFonts w:ascii="Arial" w:hAnsi="Arial" w:cs="Arial"/>
          <w:noProof/>
          <w:sz w:val="24"/>
          <w:szCs w:val="24"/>
        </w:rPr>
        <w:t xml:space="preserve"> </w:t>
      </w:r>
    </w:p>
    <w:p w:rsidR="00355081" w:rsidRDefault="00355081" w:rsidP="00355081">
      <w:pPr>
        <w:spacing w:after="0" w:line="360" w:lineRule="auto"/>
        <w:jc w:val="both"/>
        <w:rPr>
          <w:rFonts w:ascii="Arial" w:hAnsi="Arial" w:cs="Arial"/>
          <w:sz w:val="24"/>
          <w:szCs w:val="24"/>
        </w:rPr>
      </w:pPr>
      <w:r>
        <w:rPr>
          <w:rFonts w:ascii="Arial" w:hAnsi="Arial" w:cs="Arial"/>
          <w:sz w:val="24"/>
          <w:szCs w:val="24"/>
        </w:rPr>
        <w:t>OEI, 2014. Metas  educativas al 2021. Recuperado en:</w:t>
      </w:r>
    </w:p>
    <w:p w:rsidR="00355081" w:rsidRPr="00B05C1B" w:rsidRDefault="00355081" w:rsidP="00355081">
      <w:pPr>
        <w:spacing w:after="0" w:line="360" w:lineRule="auto"/>
        <w:jc w:val="both"/>
        <w:rPr>
          <w:color w:val="0000FF" w:themeColor="hyperlink"/>
          <w:u w:val="single"/>
        </w:rPr>
      </w:pPr>
      <w:r>
        <w:rPr>
          <w:rFonts w:ascii="Arial" w:hAnsi="Arial" w:cs="Arial"/>
          <w:sz w:val="24"/>
          <w:szCs w:val="24"/>
        </w:rPr>
        <w:t xml:space="preserve"> </w:t>
      </w:r>
      <w:hyperlink r:id="rId10" w:history="1">
        <w:r>
          <w:rPr>
            <w:rStyle w:val="Hipervnculo"/>
            <w:rFonts w:ascii="Arial" w:hAnsi="Arial" w:cs="Arial"/>
            <w:sz w:val="24"/>
            <w:szCs w:val="24"/>
          </w:rPr>
          <w:t>http://www.oei.es/quipu/mexico/mex10.pdf</w:t>
        </w:r>
      </w:hyperlink>
    </w:p>
    <w:p w:rsidR="00355081" w:rsidRPr="00B05C1B" w:rsidRDefault="00355081" w:rsidP="00355081">
      <w:pPr>
        <w:spacing w:after="0"/>
        <w:rPr>
          <w:rFonts w:ascii="Arial" w:hAnsi="Arial" w:cs="Arial"/>
          <w:color w:val="0000FF" w:themeColor="hyperlink"/>
          <w:u w:val="single"/>
        </w:rPr>
      </w:pPr>
      <w:r>
        <w:rPr>
          <w:rFonts w:ascii="Arial" w:hAnsi="Arial" w:cs="Arial"/>
        </w:rPr>
        <w:t xml:space="preserve">OCDE. Recomendaciones para  México (2015) recuperado en: </w:t>
      </w:r>
      <w:hyperlink r:id="rId11" w:history="1">
        <w:r>
          <w:rPr>
            <w:rStyle w:val="Hipervnculo"/>
            <w:rFonts w:ascii="Arial" w:hAnsi="Arial" w:cs="Arial"/>
          </w:rPr>
          <w:t>https://www.google.com.mx/search?q=recomendaciones+de+la+OCDE+a+mexico+2015&amp;oq=recomendaciones+&amp;aqs=chrome.1.69i57j69i59.20030j0j7&amp;sourceid=chrome&amp;es_sm=93&amp;ie=UTF-8</w:t>
        </w:r>
      </w:hyperlink>
    </w:p>
    <w:p w:rsidR="00355081" w:rsidRPr="00973789" w:rsidRDefault="00355081" w:rsidP="007053D4">
      <w:pPr>
        <w:pStyle w:val="Bibliografa"/>
        <w:ind w:left="720" w:hanging="720"/>
        <w:rPr>
          <w:rFonts w:ascii="Arial" w:hAnsi="Arial" w:cs="Arial"/>
          <w:noProof/>
          <w:sz w:val="24"/>
          <w:szCs w:val="24"/>
        </w:rPr>
      </w:pPr>
      <w:r w:rsidRPr="00973789">
        <w:rPr>
          <w:rFonts w:ascii="Arial" w:hAnsi="Arial" w:cs="Arial"/>
          <w:noProof/>
          <w:sz w:val="24"/>
          <w:szCs w:val="24"/>
        </w:rPr>
        <w:t xml:space="preserve">Pedroza, F. R. (2005). </w:t>
      </w:r>
      <w:r w:rsidRPr="00973789">
        <w:rPr>
          <w:rFonts w:ascii="Arial" w:hAnsi="Arial" w:cs="Arial"/>
          <w:i/>
          <w:iCs/>
          <w:noProof/>
          <w:sz w:val="24"/>
          <w:szCs w:val="24"/>
        </w:rPr>
        <w:t>Flexibilidad Académica y Curricular en lasIinstituciones de Educación Superior.</w:t>
      </w:r>
      <w:r w:rsidRPr="00973789">
        <w:rPr>
          <w:rFonts w:ascii="Arial" w:hAnsi="Arial" w:cs="Arial"/>
          <w:noProof/>
          <w:sz w:val="24"/>
          <w:szCs w:val="24"/>
        </w:rPr>
        <w:t xml:space="preserve"> México : Miguel Ángel Porrúa.</w:t>
      </w:r>
    </w:p>
    <w:p w:rsidR="00355081" w:rsidRPr="00973789" w:rsidRDefault="00355081" w:rsidP="007053D4">
      <w:pPr>
        <w:pStyle w:val="Bibliografa"/>
        <w:ind w:left="720" w:hanging="720"/>
        <w:rPr>
          <w:rFonts w:ascii="Arial" w:hAnsi="Arial" w:cs="Arial"/>
          <w:noProof/>
          <w:sz w:val="24"/>
          <w:szCs w:val="24"/>
        </w:rPr>
      </w:pPr>
      <w:r w:rsidRPr="00973789">
        <w:rPr>
          <w:rFonts w:ascii="Arial" w:hAnsi="Arial" w:cs="Arial"/>
          <w:noProof/>
          <w:sz w:val="24"/>
          <w:szCs w:val="24"/>
        </w:rPr>
        <w:t xml:space="preserve">(2009-2010). </w:t>
      </w:r>
      <w:r w:rsidRPr="00973789">
        <w:rPr>
          <w:rFonts w:ascii="Arial" w:hAnsi="Arial" w:cs="Arial"/>
          <w:i/>
          <w:iCs/>
          <w:noProof/>
          <w:sz w:val="24"/>
          <w:szCs w:val="24"/>
        </w:rPr>
        <w:t>Programa de Fortalecimiento de la Escuela Normal de Tecámac.</w:t>
      </w:r>
      <w:r w:rsidRPr="00973789">
        <w:rPr>
          <w:rFonts w:ascii="Arial" w:hAnsi="Arial" w:cs="Arial"/>
          <w:noProof/>
          <w:sz w:val="24"/>
          <w:szCs w:val="24"/>
        </w:rPr>
        <w:t xml:space="preserve"> Tecámac, de F. V.</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SEP. (2003). </w:t>
      </w:r>
      <w:r w:rsidRPr="00973789">
        <w:rPr>
          <w:rFonts w:ascii="Arial" w:hAnsi="Arial" w:cs="Arial"/>
          <w:i/>
          <w:iCs/>
          <w:noProof/>
          <w:sz w:val="24"/>
          <w:szCs w:val="24"/>
        </w:rPr>
        <w:t>Planeación institucional de las Escuelas Normales. Orientaciones para su elaboración.</w:t>
      </w:r>
      <w:r w:rsidRPr="00973789">
        <w:rPr>
          <w:rFonts w:ascii="Arial" w:hAnsi="Arial" w:cs="Arial"/>
          <w:noProof/>
          <w:sz w:val="24"/>
          <w:szCs w:val="24"/>
        </w:rPr>
        <w:t xml:space="preserve"> México D. F: SEP.</w:t>
      </w:r>
    </w:p>
    <w:p w:rsidR="00355081" w:rsidRPr="00973789"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SEP. (2010). </w:t>
      </w:r>
      <w:r w:rsidRPr="00973789">
        <w:rPr>
          <w:rFonts w:ascii="Arial" w:hAnsi="Arial" w:cs="Arial"/>
          <w:i/>
          <w:iCs/>
          <w:noProof/>
          <w:sz w:val="24"/>
          <w:szCs w:val="24"/>
        </w:rPr>
        <w:t>Guia PEFEN.</w:t>
      </w:r>
      <w:r w:rsidRPr="00973789">
        <w:rPr>
          <w:rFonts w:ascii="Arial" w:hAnsi="Arial" w:cs="Arial"/>
          <w:noProof/>
          <w:sz w:val="24"/>
          <w:szCs w:val="24"/>
        </w:rPr>
        <w:t xml:space="preserve"> </w:t>
      </w:r>
    </w:p>
    <w:p w:rsidR="00355081"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lastRenderedPageBreak/>
        <w:t xml:space="preserve">SEP. (2014). </w:t>
      </w:r>
      <w:r w:rsidRPr="00973789">
        <w:rPr>
          <w:rFonts w:ascii="Arial" w:hAnsi="Arial" w:cs="Arial"/>
          <w:i/>
          <w:iCs/>
          <w:noProof/>
          <w:sz w:val="24"/>
          <w:szCs w:val="24"/>
        </w:rPr>
        <w:t>Sistema Nacional de Servicio Profesional Docente.</w:t>
      </w:r>
      <w:r w:rsidRPr="00973789">
        <w:rPr>
          <w:rFonts w:ascii="Arial" w:hAnsi="Arial" w:cs="Arial"/>
          <w:noProof/>
          <w:sz w:val="24"/>
          <w:szCs w:val="24"/>
        </w:rPr>
        <w:t xml:space="preserve">  </w:t>
      </w:r>
    </w:p>
    <w:p w:rsidR="00355081" w:rsidRDefault="00355081" w:rsidP="00355081">
      <w:pPr>
        <w:spacing w:after="0" w:line="360" w:lineRule="auto"/>
        <w:jc w:val="both"/>
        <w:rPr>
          <w:rFonts w:ascii="Arial" w:hAnsi="Arial" w:cs="Arial"/>
          <w:sz w:val="24"/>
          <w:szCs w:val="24"/>
        </w:rPr>
      </w:pPr>
      <w:r>
        <w:rPr>
          <w:rFonts w:ascii="Arial" w:hAnsi="Arial" w:cs="Arial"/>
          <w:sz w:val="24"/>
          <w:szCs w:val="24"/>
        </w:rPr>
        <w:t>SEP. PIFI (2015)  recuperado en:</w:t>
      </w:r>
    </w:p>
    <w:p w:rsidR="00355081" w:rsidRPr="00661C80" w:rsidRDefault="00987101" w:rsidP="00355081">
      <w:pPr>
        <w:spacing w:after="0" w:line="360" w:lineRule="auto"/>
        <w:jc w:val="both"/>
        <w:rPr>
          <w:color w:val="0000FF" w:themeColor="hyperlink"/>
          <w:u w:val="single"/>
        </w:rPr>
      </w:pPr>
      <w:hyperlink r:id="rId12" w:history="1">
        <w:r w:rsidR="00355081">
          <w:rPr>
            <w:rStyle w:val="Hipervnculo"/>
            <w:rFonts w:ascii="Arial" w:hAnsi="Arial" w:cs="Arial"/>
          </w:rPr>
          <w:t>http://pifi.sep.gob.mx/</w:t>
        </w:r>
      </w:hyperlink>
    </w:p>
    <w:p w:rsidR="00355081" w:rsidRDefault="00355081" w:rsidP="00355081">
      <w:pPr>
        <w:spacing w:after="0"/>
        <w:rPr>
          <w:rFonts w:ascii="Arial" w:hAnsi="Arial" w:cs="Arial"/>
        </w:rPr>
      </w:pPr>
      <w:r>
        <w:rPr>
          <w:rFonts w:ascii="Arial" w:hAnsi="Arial" w:cs="Arial"/>
        </w:rPr>
        <w:t>SEP. PIFI (2014) recuperado en:</w:t>
      </w:r>
    </w:p>
    <w:p w:rsidR="00355081" w:rsidRDefault="00987101" w:rsidP="00355081">
      <w:pPr>
        <w:spacing w:after="0"/>
        <w:rPr>
          <w:rStyle w:val="Hipervnculo"/>
          <w:rFonts w:ascii="Arial" w:hAnsi="Arial" w:cs="Arial"/>
        </w:rPr>
      </w:pPr>
      <w:hyperlink r:id="rId13" w:history="1">
        <w:r w:rsidR="00355081">
          <w:rPr>
            <w:rStyle w:val="Hipervnculo"/>
            <w:rFonts w:ascii="Arial" w:hAnsi="Arial" w:cs="Arial"/>
          </w:rPr>
          <w:t>http://pifi.sep.gob.mx/ScPIFI/GuiaPIFI_2014/guia/2/0</w:t>
        </w:r>
      </w:hyperlink>
    </w:p>
    <w:p w:rsidR="007053D4" w:rsidRPr="0072671E" w:rsidRDefault="00355081" w:rsidP="00355081">
      <w:pPr>
        <w:spacing w:after="0"/>
        <w:rPr>
          <w:rFonts w:ascii="Arial" w:hAnsi="Arial" w:cs="Arial"/>
        </w:rPr>
      </w:pPr>
      <w:r w:rsidRPr="0072671E">
        <w:rPr>
          <w:rFonts w:ascii="Arial" w:hAnsi="Arial" w:cs="Arial"/>
          <w:sz w:val="24"/>
          <w:szCs w:val="24"/>
        </w:rPr>
        <w:t>Schwartz, Howard y Jerry Jacobs (1996) Sociologia cualitativa, México: Trillas. Pág 72 a</w:t>
      </w:r>
      <w:r>
        <w:rPr>
          <w:rFonts w:ascii="Arial" w:hAnsi="Arial" w:cs="Arial"/>
        </w:rPr>
        <w:t xml:space="preserve"> 89.</w:t>
      </w:r>
    </w:p>
    <w:p w:rsidR="00355081"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Tedesco, J. C. (2014). </w:t>
      </w:r>
      <w:r w:rsidRPr="00973789">
        <w:rPr>
          <w:rFonts w:ascii="Arial" w:hAnsi="Arial" w:cs="Arial"/>
          <w:i/>
          <w:iCs/>
          <w:noProof/>
          <w:sz w:val="24"/>
          <w:szCs w:val="24"/>
        </w:rPr>
        <w:t>Educar en la sociedad del conocimiento .</w:t>
      </w:r>
      <w:r w:rsidRPr="00973789">
        <w:rPr>
          <w:rFonts w:ascii="Arial" w:hAnsi="Arial" w:cs="Arial"/>
          <w:noProof/>
          <w:sz w:val="24"/>
          <w:szCs w:val="24"/>
        </w:rPr>
        <w:t xml:space="preserve"> México : Fondo de Cultura Económica.</w:t>
      </w:r>
    </w:p>
    <w:p w:rsidR="00355081" w:rsidRDefault="00355081" w:rsidP="00355081">
      <w:pPr>
        <w:rPr>
          <w:rFonts w:ascii="Arial" w:hAnsi="Arial" w:cs="Arial"/>
          <w:sz w:val="24"/>
          <w:szCs w:val="24"/>
        </w:rPr>
      </w:pPr>
      <w:r w:rsidRPr="00973789">
        <w:rPr>
          <w:rFonts w:ascii="Arial" w:hAnsi="Arial" w:cs="Arial"/>
          <w:sz w:val="24"/>
          <w:szCs w:val="24"/>
        </w:rPr>
        <w:t>Thunnerman, Bernheim Carlos (2011) La  educación superior frente a  los desafíos  contemporáneos. Lección inaugural del año académico 2011 Universidad Centroamericana Managua, Nicaragua.</w:t>
      </w:r>
    </w:p>
    <w:p w:rsidR="007053D4" w:rsidRDefault="007053D4" w:rsidP="00355081">
      <w:pPr>
        <w:rPr>
          <w:rFonts w:ascii="Arial" w:hAnsi="Arial" w:cs="Arial"/>
          <w:sz w:val="24"/>
          <w:szCs w:val="24"/>
        </w:rPr>
      </w:pPr>
      <w:r>
        <w:rPr>
          <w:rFonts w:ascii="Arial" w:hAnsi="Arial" w:cs="Arial"/>
          <w:sz w:val="24"/>
          <w:szCs w:val="24"/>
        </w:rPr>
        <w:t>Valles,  Miguel S. (1999) Técnicas cualitativas de investigación social, España: Síntesis Págs. 195-231</w:t>
      </w:r>
    </w:p>
    <w:p w:rsidR="00355081" w:rsidRDefault="00355081" w:rsidP="00355081">
      <w:pPr>
        <w:spacing w:after="0"/>
        <w:rPr>
          <w:rFonts w:ascii="Arial" w:hAnsi="Arial" w:cs="Arial"/>
        </w:rPr>
      </w:pPr>
      <w:r>
        <w:rPr>
          <w:rFonts w:ascii="Arial" w:hAnsi="Arial" w:cs="Arial"/>
        </w:rPr>
        <w:t>UNESCO. Sitio oficial en:</w:t>
      </w:r>
    </w:p>
    <w:p w:rsidR="00355081" w:rsidRPr="00973789" w:rsidRDefault="00355081" w:rsidP="00355081">
      <w:pPr>
        <w:rPr>
          <w:rFonts w:ascii="Arial" w:hAnsi="Arial" w:cs="Arial"/>
          <w:color w:val="0000FF" w:themeColor="hyperlink"/>
          <w:u w:val="single"/>
        </w:rPr>
      </w:pPr>
      <w:r>
        <w:rPr>
          <w:rFonts w:ascii="Arial" w:hAnsi="Arial" w:cs="Arial"/>
          <w:color w:val="0000FF" w:themeColor="hyperlink"/>
          <w:u w:val="single"/>
        </w:rPr>
        <w:t>http://unesdoc.unesco.org/images/0014/001473/147330s.pdf</w:t>
      </w:r>
      <w:r>
        <w:t xml:space="preserve">UNESCO. CINE 2011 recuperado en: </w:t>
      </w:r>
      <w:r w:rsidRPr="00973789">
        <w:t>http://www.uis.unesco.org/StatisticalCapacityBuilding/Workshop%20Documents/Education%20workshop%20dox/2013%20Lima/5.CINE_2011.pdf</w:t>
      </w:r>
    </w:p>
    <w:p w:rsidR="00355081" w:rsidRDefault="00355081" w:rsidP="00355081">
      <w:pPr>
        <w:pStyle w:val="Bibliografa"/>
        <w:ind w:left="720" w:hanging="720"/>
        <w:rPr>
          <w:rFonts w:ascii="Arial" w:hAnsi="Arial" w:cs="Arial"/>
          <w:noProof/>
          <w:sz w:val="24"/>
          <w:szCs w:val="24"/>
        </w:rPr>
      </w:pPr>
      <w:r w:rsidRPr="00973789">
        <w:rPr>
          <w:rFonts w:ascii="Arial" w:hAnsi="Arial" w:cs="Arial"/>
          <w:noProof/>
          <w:sz w:val="24"/>
          <w:szCs w:val="24"/>
        </w:rPr>
        <w:t xml:space="preserve">Zorrilla, A. J. (2013). La evaluación consultiva y el desarrollo académico . </w:t>
      </w:r>
      <w:r w:rsidRPr="00973789">
        <w:rPr>
          <w:rFonts w:ascii="Arial" w:hAnsi="Arial" w:cs="Arial"/>
          <w:i/>
          <w:iCs/>
          <w:noProof/>
          <w:sz w:val="24"/>
          <w:szCs w:val="24"/>
        </w:rPr>
        <w:t>Redalyc</w:t>
      </w:r>
      <w:r w:rsidRPr="00973789">
        <w:rPr>
          <w:rFonts w:ascii="Arial" w:hAnsi="Arial" w:cs="Arial"/>
          <w:noProof/>
          <w:sz w:val="24"/>
          <w:szCs w:val="24"/>
        </w:rPr>
        <w:t>, 67-81.</w:t>
      </w:r>
    </w:p>
    <w:p w:rsidR="00355081" w:rsidRDefault="00355081" w:rsidP="00355081"/>
    <w:p w:rsidR="00355081" w:rsidRPr="00973789" w:rsidRDefault="00355081" w:rsidP="00355081"/>
    <w:p w:rsidR="00355081" w:rsidRDefault="00355081" w:rsidP="00355081">
      <w:pPr>
        <w:spacing w:after="0" w:line="360" w:lineRule="auto"/>
        <w:jc w:val="both"/>
        <w:rPr>
          <w:rFonts w:ascii="Arial" w:hAnsi="Arial" w:cs="Arial"/>
          <w:color w:val="0000FF" w:themeColor="hyperlink"/>
          <w:u w:val="single"/>
        </w:rPr>
      </w:pPr>
      <w:r w:rsidRPr="00973789">
        <w:rPr>
          <w:rFonts w:ascii="Arial" w:hAnsi="Arial" w:cs="Arial"/>
          <w:sz w:val="24"/>
          <w:szCs w:val="24"/>
        </w:rPr>
        <w:fldChar w:fldCharType="end"/>
      </w:r>
      <w:r>
        <w:rPr>
          <w:rFonts w:ascii="Arial" w:hAnsi="Arial" w:cs="Arial"/>
          <w:color w:val="0000FF" w:themeColor="hyperlink"/>
          <w:u w:val="single"/>
        </w:rPr>
        <w:t xml:space="preserve"> </w:t>
      </w:r>
    </w:p>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 w:rsidR="00355081" w:rsidRDefault="00355081" w:rsidP="00355081">
      <w:pPr>
        <w:rPr>
          <w:sz w:val="24"/>
          <w:szCs w:val="24"/>
        </w:rPr>
      </w:pPr>
    </w:p>
    <w:p w:rsidR="00355081" w:rsidRPr="000E236F" w:rsidRDefault="00355081" w:rsidP="00355081">
      <w:pPr>
        <w:spacing w:after="0" w:line="240" w:lineRule="auto"/>
        <w:rPr>
          <w:rFonts w:ascii="Arial" w:hAnsi="Arial" w:cs="Arial"/>
          <w:sz w:val="20"/>
          <w:szCs w:val="20"/>
        </w:rPr>
      </w:pPr>
    </w:p>
    <w:p w:rsidR="000B58F4" w:rsidRDefault="000B58F4"/>
    <w:sectPr w:rsidR="000B58F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101" w:rsidRDefault="00987101" w:rsidP="00355081">
      <w:pPr>
        <w:spacing w:after="0" w:line="240" w:lineRule="auto"/>
      </w:pPr>
      <w:r>
        <w:separator/>
      </w:r>
    </w:p>
  </w:endnote>
  <w:endnote w:type="continuationSeparator" w:id="0">
    <w:p w:rsidR="00987101" w:rsidRDefault="00987101" w:rsidP="00355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101" w:rsidRDefault="00987101" w:rsidP="00355081">
      <w:pPr>
        <w:spacing w:after="0" w:line="240" w:lineRule="auto"/>
      </w:pPr>
      <w:r>
        <w:separator/>
      </w:r>
    </w:p>
  </w:footnote>
  <w:footnote w:type="continuationSeparator" w:id="0">
    <w:p w:rsidR="00987101" w:rsidRDefault="00987101" w:rsidP="00355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06E2E"/>
    <w:multiLevelType w:val="multilevel"/>
    <w:tmpl w:val="A6C2D186"/>
    <w:lvl w:ilvl="0">
      <w:start w:val="1"/>
      <w:numFmt w:val="decimal"/>
      <w:lvlText w:val="%1."/>
      <w:lvlJc w:val="left"/>
      <w:pPr>
        <w:ind w:left="720" w:hanging="360"/>
      </w:pPr>
    </w:lvl>
    <w:lvl w:ilvl="1">
      <w:start w:val="2"/>
      <w:numFmt w:val="decimal"/>
      <w:isLgl/>
      <w:lvlText w:val="%1.%2."/>
      <w:lvlJc w:val="left"/>
      <w:pPr>
        <w:ind w:left="1080" w:hanging="720"/>
      </w:pPr>
      <w:rPr>
        <w:rFonts w:eastAsia="Times New Roman"/>
        <w:b/>
      </w:rPr>
    </w:lvl>
    <w:lvl w:ilvl="2">
      <w:start w:val="2"/>
      <w:numFmt w:val="decimal"/>
      <w:isLgl/>
      <w:lvlText w:val="%1.%2.%3."/>
      <w:lvlJc w:val="left"/>
      <w:pPr>
        <w:ind w:left="1080" w:hanging="720"/>
      </w:pPr>
      <w:rPr>
        <w:rFonts w:eastAsia="Times New Roman"/>
        <w:b/>
      </w:rPr>
    </w:lvl>
    <w:lvl w:ilvl="3">
      <w:start w:val="1"/>
      <w:numFmt w:val="decimal"/>
      <w:isLgl/>
      <w:lvlText w:val="%1.%2.%3.%4."/>
      <w:lvlJc w:val="left"/>
      <w:pPr>
        <w:ind w:left="1440" w:hanging="1080"/>
      </w:pPr>
      <w:rPr>
        <w:rFonts w:eastAsia="Times New Roman"/>
        <w:b/>
      </w:rPr>
    </w:lvl>
    <w:lvl w:ilvl="4">
      <w:start w:val="1"/>
      <w:numFmt w:val="decimal"/>
      <w:isLgl/>
      <w:lvlText w:val="%1.%2.%3.%4.%5."/>
      <w:lvlJc w:val="left"/>
      <w:pPr>
        <w:ind w:left="1440" w:hanging="1080"/>
      </w:pPr>
      <w:rPr>
        <w:rFonts w:eastAsia="Times New Roman"/>
        <w:b/>
      </w:rPr>
    </w:lvl>
    <w:lvl w:ilvl="5">
      <w:start w:val="1"/>
      <w:numFmt w:val="decimal"/>
      <w:isLgl/>
      <w:lvlText w:val="%1.%2.%3.%4.%5.%6."/>
      <w:lvlJc w:val="left"/>
      <w:pPr>
        <w:ind w:left="1800" w:hanging="1440"/>
      </w:pPr>
      <w:rPr>
        <w:rFonts w:eastAsia="Times New Roman"/>
        <w:b/>
      </w:rPr>
    </w:lvl>
    <w:lvl w:ilvl="6">
      <w:start w:val="1"/>
      <w:numFmt w:val="decimal"/>
      <w:isLgl/>
      <w:lvlText w:val="%1.%2.%3.%4.%5.%6.%7."/>
      <w:lvlJc w:val="left"/>
      <w:pPr>
        <w:ind w:left="1800" w:hanging="1440"/>
      </w:pPr>
      <w:rPr>
        <w:rFonts w:eastAsia="Times New Roman"/>
        <w:b/>
      </w:rPr>
    </w:lvl>
    <w:lvl w:ilvl="7">
      <w:start w:val="1"/>
      <w:numFmt w:val="decimal"/>
      <w:isLgl/>
      <w:lvlText w:val="%1.%2.%3.%4.%5.%6.%7.%8."/>
      <w:lvlJc w:val="left"/>
      <w:pPr>
        <w:ind w:left="2160" w:hanging="1800"/>
      </w:pPr>
      <w:rPr>
        <w:rFonts w:eastAsia="Times New Roman"/>
        <w:b/>
      </w:rPr>
    </w:lvl>
    <w:lvl w:ilvl="8">
      <w:start w:val="1"/>
      <w:numFmt w:val="decimal"/>
      <w:isLgl/>
      <w:lvlText w:val="%1.%2.%3.%4.%5.%6.%7.%8.%9."/>
      <w:lvlJc w:val="left"/>
      <w:pPr>
        <w:ind w:left="2520" w:hanging="2160"/>
      </w:pPr>
      <w:rPr>
        <w:rFonts w:eastAsia="Times New Roman"/>
        <w:b/>
      </w:rPr>
    </w:lvl>
  </w:abstractNum>
  <w:abstractNum w:abstractNumId="1">
    <w:nsid w:val="49D831D8"/>
    <w:multiLevelType w:val="hybridMultilevel"/>
    <w:tmpl w:val="F7D08F24"/>
    <w:lvl w:ilvl="0" w:tplc="9444860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915064"/>
    <w:multiLevelType w:val="hybridMultilevel"/>
    <w:tmpl w:val="C868B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F8E2213"/>
    <w:multiLevelType w:val="hybridMultilevel"/>
    <w:tmpl w:val="9CFA8F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61C72BF"/>
    <w:multiLevelType w:val="hybridMultilevel"/>
    <w:tmpl w:val="B91A92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7183843"/>
    <w:multiLevelType w:val="hybridMultilevel"/>
    <w:tmpl w:val="3F8E9F3E"/>
    <w:lvl w:ilvl="0" w:tplc="7E9A78E2">
      <w:start w:val="1"/>
      <w:numFmt w:val="bullet"/>
      <w:lvlText w:val="•"/>
      <w:lvlJc w:val="left"/>
      <w:pPr>
        <w:tabs>
          <w:tab w:val="num" w:pos="720"/>
        </w:tabs>
        <w:ind w:left="720" w:hanging="360"/>
      </w:pPr>
      <w:rPr>
        <w:rFonts w:ascii="Times New Roman" w:hAnsi="Times New Roman" w:hint="default"/>
      </w:rPr>
    </w:lvl>
    <w:lvl w:ilvl="1" w:tplc="F64A2CA2" w:tentative="1">
      <w:start w:val="1"/>
      <w:numFmt w:val="bullet"/>
      <w:lvlText w:val="•"/>
      <w:lvlJc w:val="left"/>
      <w:pPr>
        <w:tabs>
          <w:tab w:val="num" w:pos="1440"/>
        </w:tabs>
        <w:ind w:left="1440" w:hanging="360"/>
      </w:pPr>
      <w:rPr>
        <w:rFonts w:ascii="Times New Roman" w:hAnsi="Times New Roman" w:hint="default"/>
      </w:rPr>
    </w:lvl>
    <w:lvl w:ilvl="2" w:tplc="CC021032" w:tentative="1">
      <w:start w:val="1"/>
      <w:numFmt w:val="bullet"/>
      <w:lvlText w:val="•"/>
      <w:lvlJc w:val="left"/>
      <w:pPr>
        <w:tabs>
          <w:tab w:val="num" w:pos="2160"/>
        </w:tabs>
        <w:ind w:left="2160" w:hanging="360"/>
      </w:pPr>
      <w:rPr>
        <w:rFonts w:ascii="Times New Roman" w:hAnsi="Times New Roman" w:hint="default"/>
      </w:rPr>
    </w:lvl>
    <w:lvl w:ilvl="3" w:tplc="AB1CCFD6" w:tentative="1">
      <w:start w:val="1"/>
      <w:numFmt w:val="bullet"/>
      <w:lvlText w:val="•"/>
      <w:lvlJc w:val="left"/>
      <w:pPr>
        <w:tabs>
          <w:tab w:val="num" w:pos="2880"/>
        </w:tabs>
        <w:ind w:left="2880" w:hanging="360"/>
      </w:pPr>
      <w:rPr>
        <w:rFonts w:ascii="Times New Roman" w:hAnsi="Times New Roman" w:hint="default"/>
      </w:rPr>
    </w:lvl>
    <w:lvl w:ilvl="4" w:tplc="F42E4248" w:tentative="1">
      <w:start w:val="1"/>
      <w:numFmt w:val="bullet"/>
      <w:lvlText w:val="•"/>
      <w:lvlJc w:val="left"/>
      <w:pPr>
        <w:tabs>
          <w:tab w:val="num" w:pos="3600"/>
        </w:tabs>
        <w:ind w:left="3600" w:hanging="360"/>
      </w:pPr>
      <w:rPr>
        <w:rFonts w:ascii="Times New Roman" w:hAnsi="Times New Roman" w:hint="default"/>
      </w:rPr>
    </w:lvl>
    <w:lvl w:ilvl="5" w:tplc="5802CDB2" w:tentative="1">
      <w:start w:val="1"/>
      <w:numFmt w:val="bullet"/>
      <w:lvlText w:val="•"/>
      <w:lvlJc w:val="left"/>
      <w:pPr>
        <w:tabs>
          <w:tab w:val="num" w:pos="4320"/>
        </w:tabs>
        <w:ind w:left="4320" w:hanging="360"/>
      </w:pPr>
      <w:rPr>
        <w:rFonts w:ascii="Times New Roman" w:hAnsi="Times New Roman" w:hint="default"/>
      </w:rPr>
    </w:lvl>
    <w:lvl w:ilvl="6" w:tplc="BFDE1F3E" w:tentative="1">
      <w:start w:val="1"/>
      <w:numFmt w:val="bullet"/>
      <w:lvlText w:val="•"/>
      <w:lvlJc w:val="left"/>
      <w:pPr>
        <w:tabs>
          <w:tab w:val="num" w:pos="5040"/>
        </w:tabs>
        <w:ind w:left="5040" w:hanging="360"/>
      </w:pPr>
      <w:rPr>
        <w:rFonts w:ascii="Times New Roman" w:hAnsi="Times New Roman" w:hint="default"/>
      </w:rPr>
    </w:lvl>
    <w:lvl w:ilvl="7" w:tplc="D3DADCFC" w:tentative="1">
      <w:start w:val="1"/>
      <w:numFmt w:val="bullet"/>
      <w:lvlText w:val="•"/>
      <w:lvlJc w:val="left"/>
      <w:pPr>
        <w:tabs>
          <w:tab w:val="num" w:pos="5760"/>
        </w:tabs>
        <w:ind w:left="5760" w:hanging="360"/>
      </w:pPr>
      <w:rPr>
        <w:rFonts w:ascii="Times New Roman" w:hAnsi="Times New Roman" w:hint="default"/>
      </w:rPr>
    </w:lvl>
    <w:lvl w:ilvl="8" w:tplc="70EA5C0C" w:tentative="1">
      <w:start w:val="1"/>
      <w:numFmt w:val="bullet"/>
      <w:lvlText w:val="•"/>
      <w:lvlJc w:val="left"/>
      <w:pPr>
        <w:tabs>
          <w:tab w:val="num" w:pos="6480"/>
        </w:tabs>
        <w:ind w:left="6480" w:hanging="360"/>
      </w:pPr>
      <w:rPr>
        <w:rFonts w:ascii="Times New Roman" w:hAnsi="Times New Roman" w:hint="default"/>
      </w:rPr>
    </w:lvl>
  </w:abstractNum>
  <w:abstractNum w:abstractNumId="6">
    <w:nsid w:val="7B4D1599"/>
    <w:multiLevelType w:val="multilevel"/>
    <w:tmpl w:val="A77017F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081"/>
    <w:rsid w:val="00062BC5"/>
    <w:rsid w:val="000B58F4"/>
    <w:rsid w:val="001E28CB"/>
    <w:rsid w:val="00232121"/>
    <w:rsid w:val="00254833"/>
    <w:rsid w:val="00254AE0"/>
    <w:rsid w:val="002A1CA4"/>
    <w:rsid w:val="00355081"/>
    <w:rsid w:val="003E2641"/>
    <w:rsid w:val="004013DA"/>
    <w:rsid w:val="00407B96"/>
    <w:rsid w:val="00435AD7"/>
    <w:rsid w:val="004A226A"/>
    <w:rsid w:val="005270F0"/>
    <w:rsid w:val="005314BA"/>
    <w:rsid w:val="0054252E"/>
    <w:rsid w:val="00551B8A"/>
    <w:rsid w:val="00574768"/>
    <w:rsid w:val="005A3B6B"/>
    <w:rsid w:val="005C2193"/>
    <w:rsid w:val="00694BD2"/>
    <w:rsid w:val="007053D4"/>
    <w:rsid w:val="0074559B"/>
    <w:rsid w:val="00857117"/>
    <w:rsid w:val="00974A78"/>
    <w:rsid w:val="00987101"/>
    <w:rsid w:val="009F4AC0"/>
    <w:rsid w:val="00AD37DB"/>
    <w:rsid w:val="00B16DCF"/>
    <w:rsid w:val="00B83E94"/>
    <w:rsid w:val="00DE67E7"/>
    <w:rsid w:val="00F138AA"/>
    <w:rsid w:val="00F61A56"/>
    <w:rsid w:val="00F628E1"/>
    <w:rsid w:val="00FA3E48"/>
    <w:rsid w:val="00FE2E77"/>
    <w:rsid w:val="00FF77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9B6C7-67A0-40CF-BBAA-0F3D7F90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5508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55081"/>
    <w:rPr>
      <w:sz w:val="20"/>
      <w:szCs w:val="20"/>
    </w:rPr>
  </w:style>
  <w:style w:type="paragraph" w:styleId="Prrafodelista">
    <w:name w:val="List Paragraph"/>
    <w:basedOn w:val="Normal"/>
    <w:uiPriority w:val="34"/>
    <w:qFormat/>
    <w:rsid w:val="00355081"/>
    <w:pPr>
      <w:ind w:left="720"/>
      <w:contextualSpacing/>
    </w:pPr>
  </w:style>
  <w:style w:type="character" w:styleId="Refdenotaalpie">
    <w:name w:val="footnote reference"/>
    <w:basedOn w:val="Fuentedeprrafopredeter"/>
    <w:uiPriority w:val="99"/>
    <w:semiHidden/>
    <w:unhideWhenUsed/>
    <w:rsid w:val="00355081"/>
    <w:rPr>
      <w:vertAlign w:val="superscript"/>
    </w:rPr>
  </w:style>
  <w:style w:type="character" w:styleId="Hipervnculo">
    <w:name w:val="Hyperlink"/>
    <w:basedOn w:val="Fuentedeprrafopredeter"/>
    <w:uiPriority w:val="99"/>
    <w:semiHidden/>
    <w:unhideWhenUsed/>
    <w:rsid w:val="00355081"/>
    <w:rPr>
      <w:color w:val="0000FF" w:themeColor="hyperlink"/>
      <w:u w:val="single"/>
    </w:rPr>
  </w:style>
  <w:style w:type="paragraph" w:styleId="Bibliografa">
    <w:name w:val="Bibliography"/>
    <w:basedOn w:val="Normal"/>
    <w:next w:val="Normal"/>
    <w:uiPriority w:val="37"/>
    <w:unhideWhenUsed/>
    <w:rsid w:val="00355081"/>
  </w:style>
  <w:style w:type="table" w:styleId="Tablaconcuadrcula">
    <w:name w:val="Table Grid"/>
    <w:basedOn w:val="Tablanormal"/>
    <w:uiPriority w:val="59"/>
    <w:rsid w:val="00551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689671">
      <w:bodyDiv w:val="1"/>
      <w:marLeft w:val="0"/>
      <w:marRight w:val="0"/>
      <w:marTop w:val="0"/>
      <w:marBottom w:val="0"/>
      <w:divBdr>
        <w:top w:val="none" w:sz="0" w:space="0" w:color="auto"/>
        <w:left w:val="none" w:sz="0" w:space="0" w:color="auto"/>
        <w:bottom w:val="none" w:sz="0" w:space="0" w:color="auto"/>
        <w:right w:val="none" w:sz="0" w:space="0" w:color="auto"/>
      </w:divBdr>
      <w:divsChild>
        <w:div w:id="196781366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paes.org/" TargetMode="External"/><Relationship Id="rId13" Type="http://schemas.openxmlformats.org/officeDocument/2006/relationships/hyperlink" Target="http://pifi.sep.gob.mx/ScPIFI/GuiaPIFI_2014/guia/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ifi.sep.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x/search?q=recomendaciones+de+la+OCDE+a+mexico+2015&amp;oq=recomendaciones+&amp;aqs=chrome.1.69i57j69i59.20030j0j7&amp;sourceid=chrome&amp;es_sm=93&amp;ie=UTF-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ei.es/quipu/mexico/mex10.pdf" TargetMode="External"/><Relationship Id="rId4" Type="http://schemas.openxmlformats.org/officeDocument/2006/relationships/settings" Target="settings.xml"/><Relationship Id="rId9" Type="http://schemas.openxmlformats.org/officeDocument/2006/relationships/hyperlink" Target="http://www.dgespe.sep.gob.mx/acerca_de"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1A0F6-FD13-4529-B971-DBAE99B8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1</Pages>
  <Words>3343</Words>
  <Characters>18387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xochilt garcia sanchez</dc:creator>
  <cp:lastModifiedBy>Heriberto Monárrez Vásquez</cp:lastModifiedBy>
  <cp:revision>8</cp:revision>
  <dcterms:created xsi:type="dcterms:W3CDTF">2016-02-09T21:58:00Z</dcterms:created>
  <dcterms:modified xsi:type="dcterms:W3CDTF">2016-02-12T16:28:00Z</dcterms:modified>
</cp:coreProperties>
</file>