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A3" w:rsidRDefault="006A5269" w:rsidP="009C2AA3">
      <w:pPr>
        <w:pStyle w:val="Ttulo1"/>
        <w:numPr>
          <w:ilvl w:val="0"/>
          <w:numId w:val="0"/>
        </w:numPr>
        <w:spacing w:before="0" w:after="0"/>
        <w:ind w:right="-284"/>
        <w:jc w:val="center"/>
        <w:rPr>
          <w:rFonts w:cs="Arial"/>
          <w:sz w:val="28"/>
          <w:szCs w:val="28"/>
        </w:rPr>
      </w:pPr>
      <w:r w:rsidRPr="006A5269">
        <w:rPr>
          <w:rFonts w:cs="Arial"/>
          <w:sz w:val="28"/>
          <w:szCs w:val="28"/>
        </w:rPr>
        <w:t xml:space="preserve">Tendencias en </w:t>
      </w:r>
      <w:r w:rsidR="001A45DD">
        <w:rPr>
          <w:rFonts w:cs="Arial"/>
          <w:sz w:val="28"/>
          <w:szCs w:val="28"/>
        </w:rPr>
        <w:t>producción del</w:t>
      </w:r>
      <w:r w:rsidR="009C2AA3">
        <w:rPr>
          <w:rFonts w:cs="Arial"/>
          <w:sz w:val="28"/>
          <w:szCs w:val="28"/>
        </w:rPr>
        <w:t xml:space="preserve"> conocimiento: el desarrollo de la investigación agrícola y educativa en la </w:t>
      </w:r>
    </w:p>
    <w:p w:rsidR="006A5269" w:rsidRPr="006A5269" w:rsidRDefault="00FB56D3" w:rsidP="009C2AA3">
      <w:pPr>
        <w:pStyle w:val="Ttulo1"/>
        <w:numPr>
          <w:ilvl w:val="0"/>
          <w:numId w:val="0"/>
        </w:numPr>
        <w:spacing w:before="0" w:after="0"/>
        <w:ind w:right="-284"/>
        <w:jc w:val="center"/>
        <w:rPr>
          <w:rFonts w:cs="Arial"/>
          <w:caps/>
          <w:sz w:val="28"/>
          <w:szCs w:val="28"/>
        </w:rPr>
      </w:pPr>
      <w:r>
        <w:rPr>
          <w:rFonts w:cs="Arial"/>
          <w:sz w:val="28"/>
          <w:szCs w:val="28"/>
        </w:rPr>
        <w:t>Universidad Autónoma Chapingo</w:t>
      </w:r>
    </w:p>
    <w:p w:rsidR="002A67A0" w:rsidRDefault="002A67A0" w:rsidP="002A67A0">
      <w:pPr>
        <w:rPr>
          <w:lang w:val="es-ES" w:eastAsia="en-US"/>
        </w:rPr>
      </w:pPr>
    </w:p>
    <w:p w:rsidR="002A67A0" w:rsidRDefault="002A67A0" w:rsidP="002A67A0">
      <w:pPr>
        <w:jc w:val="right"/>
        <w:rPr>
          <w:rFonts w:ascii="Arial" w:hAnsi="Arial" w:cs="Arial"/>
          <w:b/>
          <w:sz w:val="20"/>
          <w:szCs w:val="20"/>
          <w:lang w:val="es-ES" w:eastAsia="en-US"/>
        </w:rPr>
      </w:pPr>
      <w:r w:rsidRPr="00021BCE">
        <w:rPr>
          <w:rFonts w:ascii="Arial" w:hAnsi="Arial" w:cs="Arial"/>
          <w:b/>
          <w:sz w:val="20"/>
          <w:szCs w:val="20"/>
          <w:lang w:val="es-ES" w:eastAsia="en-US"/>
        </w:rPr>
        <w:t>Gladys Martínez Gómez</w:t>
      </w:r>
      <w:r w:rsidRPr="00021BCE">
        <w:rPr>
          <w:rStyle w:val="Refdenotaalpie"/>
          <w:rFonts w:cs="Arial"/>
          <w:b/>
          <w:sz w:val="20"/>
          <w:szCs w:val="20"/>
          <w:lang w:val="es-ES" w:eastAsia="en-US"/>
        </w:rPr>
        <w:footnoteReference w:id="1"/>
      </w:r>
      <w:r w:rsidRPr="00021BCE">
        <w:rPr>
          <w:rFonts w:ascii="Arial" w:hAnsi="Arial" w:cs="Arial"/>
          <w:b/>
          <w:sz w:val="20"/>
          <w:szCs w:val="20"/>
          <w:lang w:val="es-ES" w:eastAsia="en-US"/>
        </w:rPr>
        <w:t xml:space="preserve"> </w:t>
      </w:r>
    </w:p>
    <w:p w:rsidR="00021BCE" w:rsidRPr="00021BCE" w:rsidRDefault="00021BCE" w:rsidP="002A67A0">
      <w:pPr>
        <w:jc w:val="right"/>
        <w:rPr>
          <w:rFonts w:ascii="Arial" w:hAnsi="Arial" w:cs="Arial"/>
          <w:b/>
          <w:i/>
          <w:sz w:val="20"/>
          <w:szCs w:val="20"/>
          <w:lang w:val="es-ES" w:eastAsia="en-US"/>
        </w:rPr>
      </w:pPr>
      <w:r w:rsidRPr="00021BCE">
        <w:rPr>
          <w:rFonts w:ascii="Arial" w:hAnsi="Arial" w:cs="Arial"/>
          <w:b/>
          <w:i/>
          <w:sz w:val="20"/>
          <w:szCs w:val="20"/>
          <w:lang w:val="es-ES" w:eastAsia="en-US"/>
        </w:rPr>
        <w:t>Universidad Autónoma Chapingo</w:t>
      </w:r>
    </w:p>
    <w:p w:rsidR="006F254D" w:rsidRDefault="006F254D" w:rsidP="0019540B">
      <w:pPr>
        <w:pStyle w:val="Ttulo1"/>
        <w:numPr>
          <w:ilvl w:val="0"/>
          <w:numId w:val="0"/>
        </w:numPr>
        <w:spacing w:before="0" w:after="0" w:line="360" w:lineRule="auto"/>
        <w:ind w:right="-284"/>
        <w:rPr>
          <w:rFonts w:cs="Arial"/>
          <w:sz w:val="24"/>
          <w:szCs w:val="24"/>
        </w:rPr>
      </w:pPr>
    </w:p>
    <w:p w:rsidR="006F254D" w:rsidRDefault="006F254D" w:rsidP="0019540B">
      <w:pPr>
        <w:pStyle w:val="Ttulo1"/>
        <w:numPr>
          <w:ilvl w:val="0"/>
          <w:numId w:val="0"/>
        </w:numPr>
        <w:spacing w:before="0" w:after="0" w:line="360" w:lineRule="auto"/>
        <w:ind w:right="-284"/>
        <w:rPr>
          <w:rFonts w:cs="Arial"/>
          <w:sz w:val="24"/>
          <w:szCs w:val="24"/>
        </w:rPr>
      </w:pPr>
      <w:bookmarkStart w:id="0" w:name="_GoBack"/>
      <w:bookmarkEnd w:id="0"/>
    </w:p>
    <w:p w:rsidR="00F207B5" w:rsidRPr="0019540B" w:rsidRDefault="005C1E96" w:rsidP="0019540B">
      <w:pPr>
        <w:pStyle w:val="Ttulo1"/>
        <w:numPr>
          <w:ilvl w:val="0"/>
          <w:numId w:val="0"/>
        </w:numPr>
        <w:spacing w:before="0" w:after="0" w:line="360" w:lineRule="auto"/>
        <w:ind w:right="-284"/>
        <w:rPr>
          <w:rFonts w:cs="Arial"/>
          <w:sz w:val="24"/>
          <w:szCs w:val="24"/>
        </w:rPr>
      </w:pPr>
      <w:r w:rsidRPr="0019540B">
        <w:rPr>
          <w:rFonts w:cs="Arial"/>
          <w:sz w:val="24"/>
          <w:szCs w:val="24"/>
        </w:rPr>
        <w:t xml:space="preserve">Introducción </w:t>
      </w:r>
    </w:p>
    <w:p w:rsidR="005C1E96" w:rsidRPr="0019540B" w:rsidRDefault="005C1E96" w:rsidP="0019540B">
      <w:pPr>
        <w:spacing w:line="360" w:lineRule="auto"/>
        <w:ind w:right="-284"/>
        <w:rPr>
          <w:rFonts w:ascii="Arial" w:hAnsi="Arial" w:cs="Arial"/>
          <w:lang w:val="es-ES" w:eastAsia="en-US"/>
        </w:rPr>
      </w:pPr>
    </w:p>
    <w:p w:rsidR="00391364" w:rsidRPr="0019540B" w:rsidRDefault="00D945EF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  <w:r w:rsidRPr="0019540B">
        <w:rPr>
          <w:rFonts w:ascii="Arial" w:hAnsi="Arial" w:cs="Arial"/>
          <w:sz w:val="24"/>
        </w:rPr>
        <w:t xml:space="preserve">Los nuevos paradigmas de producción de conocimiento como el Modo 2 que ha rebasado la Modo 1 de décadas pasadas establecido por </w:t>
      </w:r>
      <w:proofErr w:type="spellStart"/>
      <w:r w:rsidRPr="0019540B">
        <w:rPr>
          <w:rFonts w:ascii="Arial" w:hAnsi="Arial" w:cs="Arial"/>
          <w:sz w:val="24"/>
        </w:rPr>
        <w:t>Gibbons</w:t>
      </w:r>
      <w:proofErr w:type="spellEnd"/>
      <w:r w:rsidRPr="0019540B">
        <w:rPr>
          <w:rFonts w:ascii="Arial" w:hAnsi="Arial" w:cs="Arial"/>
          <w:sz w:val="24"/>
        </w:rPr>
        <w:t xml:space="preserve"> (1998) trae consigo nuevas formas de organización, nuevas relaciones sociales, nuevos enfoques de investigación, nuevas formas de vinculación con la sociedad, nuevas formas de financiamiento, </w:t>
      </w:r>
      <w:r w:rsidR="001679C0" w:rsidRPr="0019540B">
        <w:rPr>
          <w:rFonts w:ascii="Arial" w:hAnsi="Arial" w:cs="Arial"/>
          <w:sz w:val="24"/>
        </w:rPr>
        <w:t>así como nuevas formas de difusión de avances y resultados.</w:t>
      </w:r>
      <w:r w:rsidR="006A5269">
        <w:rPr>
          <w:rFonts w:ascii="Arial" w:hAnsi="Arial" w:cs="Arial"/>
          <w:sz w:val="24"/>
        </w:rPr>
        <w:t xml:space="preserve"> </w:t>
      </w:r>
      <w:r w:rsidR="00F207B5" w:rsidRPr="0019540B">
        <w:rPr>
          <w:rFonts w:ascii="Arial" w:hAnsi="Arial" w:cs="Arial"/>
          <w:sz w:val="24"/>
        </w:rPr>
        <w:t xml:space="preserve">El objetivo de este </w:t>
      </w:r>
      <w:r w:rsidR="00C05007">
        <w:rPr>
          <w:rFonts w:ascii="Arial" w:hAnsi="Arial" w:cs="Arial"/>
          <w:sz w:val="24"/>
        </w:rPr>
        <w:t>estudio es ten</w:t>
      </w:r>
      <w:r w:rsidR="00F207B5" w:rsidRPr="0019540B">
        <w:rPr>
          <w:rFonts w:ascii="Arial" w:hAnsi="Arial" w:cs="Arial"/>
          <w:sz w:val="24"/>
        </w:rPr>
        <w:t xml:space="preserve">er un acercamiento a las formas de producción </w:t>
      </w:r>
      <w:r w:rsidR="00C05007">
        <w:rPr>
          <w:rFonts w:ascii="Arial" w:hAnsi="Arial" w:cs="Arial"/>
          <w:sz w:val="24"/>
        </w:rPr>
        <w:t xml:space="preserve">predominantes en la </w:t>
      </w:r>
      <w:r w:rsidR="00F207B5" w:rsidRPr="0019540B">
        <w:rPr>
          <w:rFonts w:ascii="Arial" w:hAnsi="Arial" w:cs="Arial"/>
          <w:sz w:val="24"/>
        </w:rPr>
        <w:t>Universidad Autónoma Chapingo</w:t>
      </w:r>
      <w:r w:rsidR="00C05007">
        <w:rPr>
          <w:rFonts w:ascii="Arial" w:hAnsi="Arial" w:cs="Arial"/>
          <w:sz w:val="24"/>
        </w:rPr>
        <w:t xml:space="preserve"> durante el periodo 2000-2012</w:t>
      </w:r>
      <w:r w:rsidR="00F27A9C">
        <w:rPr>
          <w:rFonts w:ascii="Arial" w:hAnsi="Arial" w:cs="Arial"/>
          <w:sz w:val="24"/>
        </w:rPr>
        <w:t xml:space="preserve"> donde está integrada la investigación educativa que se realiza en la universidad</w:t>
      </w:r>
      <w:r w:rsidR="00C05007">
        <w:rPr>
          <w:rFonts w:ascii="Arial" w:hAnsi="Arial" w:cs="Arial"/>
          <w:sz w:val="24"/>
        </w:rPr>
        <w:t xml:space="preserve">.  </w:t>
      </w:r>
    </w:p>
    <w:p w:rsidR="00832F70" w:rsidRDefault="00832F70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</w:p>
    <w:p w:rsidR="009F2864" w:rsidRDefault="009F2864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Problema de investigación </w:t>
      </w:r>
    </w:p>
    <w:p w:rsidR="009F2864" w:rsidRDefault="009F2864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FC44AC" w:rsidRPr="0019540B" w:rsidRDefault="006342F2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La </w:t>
      </w:r>
      <w:r w:rsidR="00E31225" w:rsidRPr="0019540B">
        <w:rPr>
          <w:rFonts w:ascii="Arial" w:hAnsi="Arial" w:cs="Arial"/>
        </w:rPr>
        <w:t xml:space="preserve">producción de conocimiento se ha extendido a diversos espacios no sólo </w:t>
      </w:r>
      <w:r w:rsidR="00DE2F45" w:rsidRPr="0019540B">
        <w:rPr>
          <w:rFonts w:ascii="Arial" w:hAnsi="Arial" w:cs="Arial"/>
        </w:rPr>
        <w:t xml:space="preserve">en </w:t>
      </w:r>
      <w:r w:rsidR="00E31225" w:rsidRPr="0019540B">
        <w:rPr>
          <w:rFonts w:ascii="Arial" w:hAnsi="Arial" w:cs="Arial"/>
        </w:rPr>
        <w:t xml:space="preserve">las universidades e institutos de investigación, sino también en las empresas, en los centros públicos y privados de investigación </w:t>
      </w:r>
      <w:r w:rsidR="00AC0617">
        <w:rPr>
          <w:rFonts w:ascii="Arial" w:hAnsi="Arial" w:cs="Arial"/>
        </w:rPr>
        <w:t>donde también se produce conocimiento</w:t>
      </w:r>
      <w:r w:rsidR="00DE2F45" w:rsidRPr="0019540B">
        <w:rPr>
          <w:rFonts w:ascii="Arial" w:hAnsi="Arial" w:cs="Arial"/>
        </w:rPr>
        <w:t xml:space="preserve">. De </w:t>
      </w:r>
      <w:r w:rsidR="00E12AE9" w:rsidRPr="0019540B">
        <w:rPr>
          <w:rFonts w:ascii="Arial" w:hAnsi="Arial" w:cs="Arial"/>
        </w:rPr>
        <w:t xml:space="preserve"> aquí la idea de que </w:t>
      </w:r>
      <w:r w:rsidR="00E31225" w:rsidRPr="0019540B">
        <w:rPr>
          <w:rFonts w:ascii="Arial" w:hAnsi="Arial" w:cs="Arial"/>
        </w:rPr>
        <w:t>“… las universidades deben entender que las nuevas guerras  se pelearán en el mercado de conocimiento  y no con armas y misiles pero sí armas termonucleares llamadas información y conocimiento</w:t>
      </w:r>
      <w:r w:rsidR="0038467A" w:rsidRPr="0019540B">
        <w:rPr>
          <w:rFonts w:ascii="Arial" w:hAnsi="Arial" w:cs="Arial"/>
        </w:rPr>
        <w:t>”</w:t>
      </w:r>
      <w:r w:rsidR="00E31225" w:rsidRPr="0019540B">
        <w:rPr>
          <w:rFonts w:ascii="Arial" w:hAnsi="Arial" w:cs="Arial"/>
        </w:rPr>
        <w:t xml:space="preserve"> (</w:t>
      </w:r>
      <w:proofErr w:type="spellStart"/>
      <w:r w:rsidR="00E31225" w:rsidRPr="0019540B">
        <w:rPr>
          <w:rFonts w:ascii="Arial" w:hAnsi="Arial" w:cs="Arial"/>
        </w:rPr>
        <w:t>Otara</w:t>
      </w:r>
      <w:proofErr w:type="spellEnd"/>
      <w:r w:rsidR="00E31225" w:rsidRPr="0019540B">
        <w:rPr>
          <w:rFonts w:ascii="Arial" w:hAnsi="Arial" w:cs="Arial"/>
        </w:rPr>
        <w:t>, 2014, pág. 450).</w:t>
      </w:r>
    </w:p>
    <w:p w:rsidR="00DE2F45" w:rsidRPr="0019540B" w:rsidRDefault="00DE2F45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hAnsi="Arial" w:cs="Arial"/>
          <w:highlight w:val="magenta"/>
          <w:lang w:val="es-ES"/>
        </w:rPr>
      </w:pPr>
    </w:p>
    <w:p w:rsidR="00890D98" w:rsidRPr="0019540B" w:rsidRDefault="00890D98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proofErr w:type="spellStart"/>
      <w:r w:rsidRPr="0019540B">
        <w:rPr>
          <w:rFonts w:ascii="Arial" w:hAnsi="Arial" w:cs="Arial"/>
          <w:sz w:val="24"/>
        </w:rPr>
        <w:t>Koniger</w:t>
      </w:r>
      <w:proofErr w:type="spellEnd"/>
      <w:r w:rsidRPr="0019540B">
        <w:rPr>
          <w:rFonts w:ascii="Arial" w:hAnsi="Arial" w:cs="Arial"/>
          <w:sz w:val="24"/>
        </w:rPr>
        <w:t xml:space="preserve"> and </w:t>
      </w:r>
      <w:proofErr w:type="spellStart"/>
      <w:r w:rsidRPr="0019540B">
        <w:rPr>
          <w:rFonts w:ascii="Arial" w:hAnsi="Arial" w:cs="Arial"/>
          <w:sz w:val="24"/>
        </w:rPr>
        <w:t>Janowitz</w:t>
      </w:r>
      <w:proofErr w:type="spellEnd"/>
      <w:r w:rsidR="00AC5B82" w:rsidRPr="0019540B">
        <w:rPr>
          <w:rFonts w:ascii="Arial" w:hAnsi="Arial" w:cs="Arial"/>
          <w:sz w:val="24"/>
        </w:rPr>
        <w:t xml:space="preserve"> (</w:t>
      </w:r>
      <w:r w:rsidRPr="0019540B">
        <w:rPr>
          <w:rFonts w:ascii="Arial" w:hAnsi="Arial" w:cs="Arial"/>
          <w:sz w:val="24"/>
        </w:rPr>
        <w:t>1995)</w:t>
      </w:r>
      <w:r w:rsidR="00AC5B82" w:rsidRPr="0019540B">
        <w:rPr>
          <w:rFonts w:ascii="Arial" w:hAnsi="Arial" w:cs="Arial"/>
          <w:sz w:val="24"/>
        </w:rPr>
        <w:t xml:space="preserve">; </w:t>
      </w:r>
      <w:r w:rsidRPr="0019540B">
        <w:rPr>
          <w:rFonts w:ascii="Arial" w:hAnsi="Arial" w:cs="Arial"/>
          <w:sz w:val="24"/>
        </w:rPr>
        <w:t xml:space="preserve"> (</w:t>
      </w:r>
      <w:proofErr w:type="spellStart"/>
      <w:r w:rsidRPr="0019540B">
        <w:rPr>
          <w:rFonts w:ascii="Arial" w:hAnsi="Arial" w:cs="Arial"/>
          <w:sz w:val="24"/>
        </w:rPr>
        <w:t>Marakas</w:t>
      </w:r>
      <w:proofErr w:type="spellEnd"/>
      <w:r w:rsidR="00AC5B82" w:rsidRPr="0019540B">
        <w:rPr>
          <w:rFonts w:ascii="Arial" w:hAnsi="Arial" w:cs="Arial"/>
          <w:sz w:val="24"/>
        </w:rPr>
        <w:t xml:space="preserve"> (</w:t>
      </w:r>
      <w:r w:rsidRPr="0019540B">
        <w:rPr>
          <w:rFonts w:ascii="Arial" w:hAnsi="Arial" w:cs="Arial"/>
          <w:sz w:val="24"/>
        </w:rPr>
        <w:t xml:space="preserve">1999), Dawson (2000) </w:t>
      </w:r>
      <w:r w:rsidR="008B7AE5" w:rsidRPr="0019540B">
        <w:rPr>
          <w:rFonts w:ascii="Arial" w:hAnsi="Arial" w:cs="Arial"/>
          <w:sz w:val="24"/>
        </w:rPr>
        <w:t xml:space="preserve">(citado por </w:t>
      </w:r>
      <w:proofErr w:type="spellStart"/>
      <w:r w:rsidR="008B7AE5" w:rsidRPr="0019540B">
        <w:rPr>
          <w:rFonts w:ascii="Arial" w:hAnsi="Arial" w:cs="Arial"/>
          <w:sz w:val="24"/>
        </w:rPr>
        <w:t>Otara</w:t>
      </w:r>
      <w:proofErr w:type="spellEnd"/>
      <w:r w:rsidR="009376EA">
        <w:rPr>
          <w:rFonts w:ascii="Arial" w:hAnsi="Arial" w:cs="Arial"/>
          <w:sz w:val="24"/>
        </w:rPr>
        <w:t xml:space="preserve">, </w:t>
      </w:r>
      <w:r w:rsidR="008B7AE5" w:rsidRPr="0019540B">
        <w:rPr>
          <w:rFonts w:ascii="Arial" w:hAnsi="Arial" w:cs="Arial"/>
          <w:sz w:val="24"/>
        </w:rPr>
        <w:t xml:space="preserve"> 2014) </w:t>
      </w:r>
      <w:r w:rsidR="00AC5B82" w:rsidRPr="0019540B">
        <w:rPr>
          <w:rFonts w:ascii="Arial" w:hAnsi="Arial" w:cs="Arial"/>
          <w:sz w:val="24"/>
        </w:rPr>
        <w:t xml:space="preserve">señalan que la </w:t>
      </w:r>
      <w:r w:rsidRPr="0019540B">
        <w:rPr>
          <w:rFonts w:ascii="Arial" w:hAnsi="Arial" w:cs="Arial"/>
          <w:sz w:val="24"/>
        </w:rPr>
        <w:t xml:space="preserve"> producción del conocimiento se está difundiendo más ampliamente gracias a una gran cantidad de lugares y de actores. </w:t>
      </w:r>
      <w:r w:rsidR="00AC5B82" w:rsidRPr="0019540B">
        <w:rPr>
          <w:rFonts w:ascii="Arial" w:hAnsi="Arial" w:cs="Arial"/>
          <w:sz w:val="24"/>
        </w:rPr>
        <w:t xml:space="preserve">En este proceso de innovación se crean nuevos escenarios y nuevas formas de relación social donde se </w:t>
      </w:r>
      <w:r w:rsidR="00AC5B82" w:rsidRPr="0019540B">
        <w:rPr>
          <w:rFonts w:ascii="Arial" w:hAnsi="Arial" w:cs="Arial"/>
          <w:sz w:val="24"/>
        </w:rPr>
        <w:lastRenderedPageBreak/>
        <w:t xml:space="preserve">requieren nuevos aprendizajes, nuevos saberes, nuevas habilidades y destrezas, nuevas formas de colaboración con los otros como el trabajo en equipo y nuevas formas de difusión y comunicación. Se </w:t>
      </w:r>
      <w:r w:rsidRPr="0019540B">
        <w:rPr>
          <w:rFonts w:ascii="Arial" w:hAnsi="Arial" w:cs="Arial"/>
          <w:sz w:val="24"/>
        </w:rPr>
        <w:t xml:space="preserve">están creando nuevos ambientes de aprendizaje basados en la práctica, ampliando con ello nuevos horizontes que van más allá de situaciones en que las divisiones laborales </w:t>
      </w:r>
      <w:proofErr w:type="spellStart"/>
      <w:r w:rsidRPr="0019540B">
        <w:rPr>
          <w:rFonts w:ascii="Arial" w:hAnsi="Arial" w:cs="Arial"/>
          <w:sz w:val="24"/>
        </w:rPr>
        <w:t>fordistas</w:t>
      </w:r>
      <w:proofErr w:type="spellEnd"/>
      <w:r w:rsidRPr="0019540B">
        <w:rPr>
          <w:rFonts w:ascii="Arial" w:hAnsi="Arial" w:cs="Arial"/>
          <w:sz w:val="24"/>
        </w:rPr>
        <w:t xml:space="preserve"> en oficinas y fábricas limitaban el campo de acción de los individuos y por tanto su oportunidad de aprender (David y </w:t>
      </w:r>
      <w:proofErr w:type="spellStart"/>
      <w:r w:rsidRPr="0019540B">
        <w:rPr>
          <w:rFonts w:ascii="Arial" w:hAnsi="Arial" w:cs="Arial"/>
          <w:sz w:val="24"/>
        </w:rPr>
        <w:t>Foray</w:t>
      </w:r>
      <w:proofErr w:type="spellEnd"/>
      <w:r w:rsidRPr="0019540B">
        <w:rPr>
          <w:rFonts w:ascii="Arial" w:hAnsi="Arial" w:cs="Arial"/>
          <w:sz w:val="24"/>
        </w:rPr>
        <w:t>, 2002).</w:t>
      </w:r>
    </w:p>
    <w:p w:rsidR="00890D98" w:rsidRPr="0019540B" w:rsidRDefault="00890D98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  <w:lang w:val="es-ES_tradnl"/>
        </w:rPr>
      </w:pPr>
    </w:p>
    <w:p w:rsidR="005973D1" w:rsidRDefault="001E18C0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</w:t>
      </w:r>
      <w:r w:rsidR="001476D6" w:rsidRPr="0019540B">
        <w:rPr>
          <w:rFonts w:ascii="Arial" w:hAnsi="Arial" w:cs="Arial"/>
          <w:sz w:val="24"/>
        </w:rPr>
        <w:t xml:space="preserve"> viejo paradigma </w:t>
      </w:r>
      <w:r w:rsidR="002A277D" w:rsidRPr="0019540B">
        <w:rPr>
          <w:rFonts w:ascii="Arial" w:hAnsi="Arial" w:cs="Arial"/>
          <w:sz w:val="24"/>
        </w:rPr>
        <w:t xml:space="preserve">Modo 1 </w:t>
      </w:r>
      <w:r w:rsidR="001476D6" w:rsidRPr="0019540B">
        <w:rPr>
          <w:rFonts w:ascii="Arial" w:hAnsi="Arial" w:cs="Arial"/>
          <w:sz w:val="24"/>
        </w:rPr>
        <w:t>plantea un tipo de investigación básica, organizada de acuerdo a disciplinas y homogéneo</w:t>
      </w:r>
      <w:r w:rsidR="002A277D" w:rsidRPr="0019540B">
        <w:rPr>
          <w:rFonts w:ascii="Arial" w:hAnsi="Arial" w:cs="Arial"/>
          <w:sz w:val="24"/>
        </w:rPr>
        <w:t xml:space="preserve">, que </w:t>
      </w:r>
      <w:r w:rsidR="001476D6" w:rsidRPr="0019540B">
        <w:rPr>
          <w:rFonts w:ascii="Arial" w:hAnsi="Arial" w:cs="Arial"/>
          <w:sz w:val="24"/>
        </w:rPr>
        <w:t>guarda una organización jerárquica de los grupos de investigadores</w:t>
      </w:r>
      <w:r w:rsidR="002A277D" w:rsidRPr="0019540B">
        <w:rPr>
          <w:rFonts w:ascii="Arial" w:hAnsi="Arial" w:cs="Arial"/>
          <w:sz w:val="24"/>
        </w:rPr>
        <w:t xml:space="preserve"> y </w:t>
      </w:r>
      <w:r w:rsidR="00324AC1" w:rsidRPr="0019540B">
        <w:rPr>
          <w:rFonts w:ascii="Arial" w:hAnsi="Arial" w:cs="Arial"/>
          <w:sz w:val="24"/>
        </w:rPr>
        <w:t>que se</w:t>
      </w:r>
      <w:r w:rsidR="002A277D" w:rsidRPr="0019540B">
        <w:rPr>
          <w:rFonts w:ascii="Arial" w:hAnsi="Arial" w:cs="Arial"/>
          <w:sz w:val="24"/>
        </w:rPr>
        <w:t xml:space="preserve"> desarrolla </w:t>
      </w:r>
      <w:r w:rsidR="001476D6" w:rsidRPr="0019540B">
        <w:rPr>
          <w:rFonts w:ascii="Arial" w:hAnsi="Arial" w:cs="Arial"/>
          <w:sz w:val="24"/>
        </w:rPr>
        <w:t xml:space="preserve">fundamentalmente </w:t>
      </w:r>
      <w:r w:rsidR="002A277D" w:rsidRPr="0019540B">
        <w:rPr>
          <w:rFonts w:ascii="Arial" w:hAnsi="Arial" w:cs="Arial"/>
          <w:sz w:val="24"/>
        </w:rPr>
        <w:t>e</w:t>
      </w:r>
      <w:r w:rsidR="001476D6" w:rsidRPr="0019540B">
        <w:rPr>
          <w:rFonts w:ascii="Arial" w:hAnsi="Arial" w:cs="Arial"/>
          <w:sz w:val="24"/>
        </w:rPr>
        <w:t xml:space="preserve">n las universidades y centros de investigación, </w:t>
      </w:r>
      <w:r w:rsidR="00B96DB1" w:rsidRPr="0019540B">
        <w:rPr>
          <w:rFonts w:ascii="Arial" w:hAnsi="Arial" w:cs="Arial"/>
          <w:sz w:val="24"/>
        </w:rPr>
        <w:t xml:space="preserve">pero se encuentran </w:t>
      </w:r>
      <w:r w:rsidR="001476D6" w:rsidRPr="0019540B">
        <w:rPr>
          <w:rFonts w:ascii="Arial" w:hAnsi="Arial" w:cs="Arial"/>
          <w:sz w:val="24"/>
        </w:rPr>
        <w:t xml:space="preserve">desvinculados de la sociedad porque su único propósito es desarrollar conocimiento e investigación por sí misma. </w:t>
      </w:r>
      <w:r w:rsidR="00F10999">
        <w:rPr>
          <w:rFonts w:ascii="Arial" w:hAnsi="Arial" w:cs="Arial"/>
          <w:sz w:val="24"/>
        </w:rPr>
        <w:t xml:space="preserve">El </w:t>
      </w:r>
      <w:r w:rsidR="001476D6" w:rsidRPr="0019540B">
        <w:rPr>
          <w:rFonts w:ascii="Arial" w:hAnsi="Arial" w:cs="Arial"/>
          <w:sz w:val="24"/>
        </w:rPr>
        <w:t xml:space="preserve">Modo 2 establece </w:t>
      </w:r>
      <w:r>
        <w:rPr>
          <w:rFonts w:ascii="Arial" w:hAnsi="Arial" w:cs="Arial"/>
          <w:sz w:val="24"/>
        </w:rPr>
        <w:t>que la pro</w:t>
      </w:r>
      <w:r w:rsidR="001476D6" w:rsidRPr="0019540B">
        <w:rPr>
          <w:rFonts w:ascii="Arial" w:hAnsi="Arial" w:cs="Arial"/>
          <w:sz w:val="24"/>
        </w:rPr>
        <w:t>ducción del conocimiento</w:t>
      </w:r>
      <w:r w:rsidR="00E1774E" w:rsidRPr="0019540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se genera no solo </w:t>
      </w:r>
      <w:r w:rsidR="00E1774E" w:rsidRPr="0019540B">
        <w:rPr>
          <w:rFonts w:ascii="Arial" w:hAnsi="Arial" w:cs="Arial"/>
          <w:sz w:val="24"/>
        </w:rPr>
        <w:t xml:space="preserve">en </w:t>
      </w:r>
      <w:r w:rsidR="001476D6" w:rsidRPr="0019540B">
        <w:rPr>
          <w:rFonts w:ascii="Arial" w:hAnsi="Arial" w:cs="Arial"/>
          <w:sz w:val="24"/>
        </w:rPr>
        <w:t>las universidades</w:t>
      </w:r>
      <w:r w:rsidR="00EB762F">
        <w:rPr>
          <w:rFonts w:ascii="Arial" w:hAnsi="Arial" w:cs="Arial"/>
          <w:sz w:val="24"/>
        </w:rPr>
        <w:t>, sino en c</w:t>
      </w:r>
      <w:r w:rsidR="00EB762F" w:rsidRPr="0019540B">
        <w:rPr>
          <w:rFonts w:ascii="Arial" w:hAnsi="Arial" w:cs="Arial"/>
          <w:sz w:val="24"/>
        </w:rPr>
        <w:t>entros de investigación, organismos públicos, laboratorios industriales, centros de estudios y consultorías</w:t>
      </w:r>
      <w:r w:rsidR="00EB762F">
        <w:rPr>
          <w:rFonts w:ascii="Arial" w:hAnsi="Arial" w:cs="Arial"/>
          <w:sz w:val="24"/>
        </w:rPr>
        <w:t xml:space="preserve">. </w:t>
      </w:r>
    </w:p>
    <w:p w:rsidR="00EB762F" w:rsidRPr="0019540B" w:rsidRDefault="00EB762F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25427B" w:rsidRDefault="00A30AE2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 w:rsidRPr="0019540B">
        <w:rPr>
          <w:rFonts w:ascii="Arial" w:hAnsi="Arial" w:cs="Arial"/>
          <w:sz w:val="24"/>
        </w:rPr>
        <w:t xml:space="preserve">Este nuevo esquema demanda predominio de la investigación aplicada, donde el conocimiento se produce en el contexto de la aplicación y se plantea como una construcción </w:t>
      </w:r>
      <w:proofErr w:type="spellStart"/>
      <w:r w:rsidRPr="0019540B">
        <w:rPr>
          <w:rFonts w:ascii="Arial" w:hAnsi="Arial" w:cs="Arial"/>
          <w:sz w:val="24"/>
        </w:rPr>
        <w:t>transdisciplinaria</w:t>
      </w:r>
      <w:proofErr w:type="spellEnd"/>
      <w:r w:rsidR="008C1DF2">
        <w:rPr>
          <w:rFonts w:ascii="Arial" w:hAnsi="Arial" w:cs="Arial"/>
          <w:sz w:val="24"/>
        </w:rPr>
        <w:t xml:space="preserve">. </w:t>
      </w:r>
      <w:r w:rsidRPr="0019540B">
        <w:rPr>
          <w:rFonts w:ascii="Arial" w:hAnsi="Arial" w:cs="Arial"/>
          <w:sz w:val="24"/>
        </w:rPr>
        <w:t xml:space="preserve">Y requiere nuevas formas de aprendizaje y resolución de problemas que involucran diferentes actores de la sociedad y la academia (Carrizo, 2004a). Se plantean nuevos escenarios donde los involucrados trasciendan y colaboran a fin de solucionar problemas especiales, enfrentando los obstáculos que representa esta nueva forma de organización del trabajo sean de tipo cultural, institucional, teórico-metodológico, organizacional, </w:t>
      </w:r>
      <w:proofErr w:type="spellStart"/>
      <w:r w:rsidRPr="0019540B">
        <w:rPr>
          <w:rFonts w:ascii="Arial" w:hAnsi="Arial" w:cs="Arial"/>
          <w:sz w:val="24"/>
        </w:rPr>
        <w:t>psico</w:t>
      </w:r>
      <w:proofErr w:type="spellEnd"/>
      <w:r w:rsidRPr="0019540B">
        <w:rPr>
          <w:rFonts w:ascii="Arial" w:hAnsi="Arial" w:cs="Arial"/>
          <w:sz w:val="24"/>
        </w:rPr>
        <w:t>-social o  económico (Carrizo, 2004b).  En este escenario se establecen nuevas formas de obtención de recursos para la investigación</w:t>
      </w:r>
      <w:r w:rsidR="0025427B">
        <w:rPr>
          <w:rFonts w:ascii="Arial" w:hAnsi="Arial" w:cs="Arial"/>
          <w:sz w:val="24"/>
        </w:rPr>
        <w:t xml:space="preserve"> de una diversidad de instituciones públicas y privadas que financien la investigación </w:t>
      </w:r>
      <w:r w:rsidRPr="0019540B">
        <w:rPr>
          <w:rFonts w:ascii="Arial" w:hAnsi="Arial" w:cs="Arial"/>
          <w:sz w:val="24"/>
        </w:rPr>
        <w:t>con requisitos y expectativas</w:t>
      </w:r>
      <w:r w:rsidR="00C26CC8" w:rsidRPr="0019540B">
        <w:rPr>
          <w:rFonts w:ascii="Arial" w:hAnsi="Arial" w:cs="Arial"/>
          <w:sz w:val="24"/>
        </w:rPr>
        <w:t xml:space="preserve"> diversa</w:t>
      </w:r>
      <w:r w:rsidRPr="0019540B">
        <w:rPr>
          <w:rFonts w:ascii="Arial" w:hAnsi="Arial" w:cs="Arial"/>
          <w:sz w:val="24"/>
        </w:rPr>
        <w:t>s.</w:t>
      </w:r>
      <w:r w:rsidR="002679D2" w:rsidRPr="0019540B">
        <w:rPr>
          <w:rFonts w:ascii="Arial" w:hAnsi="Arial" w:cs="Arial"/>
          <w:sz w:val="24"/>
        </w:rPr>
        <w:t xml:space="preserve"> </w:t>
      </w:r>
    </w:p>
    <w:p w:rsidR="00B41905" w:rsidRPr="00B41905" w:rsidRDefault="00B41905" w:rsidP="00B41905">
      <w:pPr>
        <w:rPr>
          <w:lang w:val="es-ES" w:eastAsia="en-US"/>
        </w:rPr>
      </w:pPr>
    </w:p>
    <w:p w:rsidR="00820D6D" w:rsidRPr="0019540B" w:rsidRDefault="009F2864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 w:rsidR="00F00236" w:rsidRPr="0019540B">
        <w:rPr>
          <w:rFonts w:ascii="Arial" w:hAnsi="Arial" w:cs="Arial"/>
          <w:sz w:val="24"/>
        </w:rPr>
        <w:t xml:space="preserve">on base en el debate sobre el Modo 1y 2 de producción del conocimiento el objetivo de este </w:t>
      </w:r>
      <w:r w:rsidR="006E5005">
        <w:rPr>
          <w:rFonts w:ascii="Arial" w:hAnsi="Arial" w:cs="Arial"/>
          <w:sz w:val="24"/>
        </w:rPr>
        <w:t xml:space="preserve">estudio </w:t>
      </w:r>
      <w:r w:rsidR="00F00236" w:rsidRPr="0019540B">
        <w:rPr>
          <w:rFonts w:ascii="Arial" w:hAnsi="Arial" w:cs="Arial"/>
          <w:sz w:val="24"/>
        </w:rPr>
        <w:t xml:space="preserve">es ubicar las principales tendencias </w:t>
      </w:r>
      <w:r w:rsidR="00D41ADC" w:rsidRPr="0019540B">
        <w:rPr>
          <w:rFonts w:ascii="Arial" w:hAnsi="Arial" w:cs="Arial"/>
          <w:sz w:val="24"/>
        </w:rPr>
        <w:t xml:space="preserve">en la </w:t>
      </w:r>
      <w:proofErr w:type="spellStart"/>
      <w:r w:rsidR="00D41ADC" w:rsidRPr="0019540B">
        <w:rPr>
          <w:rFonts w:ascii="Arial" w:hAnsi="Arial" w:cs="Arial"/>
          <w:sz w:val="24"/>
        </w:rPr>
        <w:t>UACh</w:t>
      </w:r>
      <w:proofErr w:type="spellEnd"/>
      <w:r w:rsidR="00D41ADC" w:rsidRPr="0019540B">
        <w:rPr>
          <w:rFonts w:ascii="Arial" w:hAnsi="Arial" w:cs="Arial"/>
          <w:sz w:val="24"/>
        </w:rPr>
        <w:t xml:space="preserve"> </w:t>
      </w:r>
      <w:r w:rsidR="00D652D3">
        <w:rPr>
          <w:rFonts w:ascii="Arial" w:hAnsi="Arial" w:cs="Arial"/>
          <w:sz w:val="24"/>
        </w:rPr>
        <w:t xml:space="preserve">en la producción del conocimiento; y para ello se </w:t>
      </w:r>
      <w:r w:rsidR="00820D6D" w:rsidRPr="0019540B">
        <w:rPr>
          <w:rFonts w:ascii="Arial" w:hAnsi="Arial" w:cs="Arial"/>
          <w:sz w:val="24"/>
        </w:rPr>
        <w:t xml:space="preserve">han establecido dos vías de acceso </w:t>
      </w:r>
      <w:r w:rsidR="009A39DE" w:rsidRPr="0019540B">
        <w:rPr>
          <w:rFonts w:ascii="Arial" w:hAnsi="Arial" w:cs="Arial"/>
          <w:sz w:val="24"/>
        </w:rPr>
        <w:t xml:space="preserve">a la </w:t>
      </w:r>
      <w:r w:rsidR="00820D6D" w:rsidRPr="0019540B">
        <w:rPr>
          <w:rFonts w:ascii="Arial" w:hAnsi="Arial" w:cs="Arial"/>
          <w:sz w:val="24"/>
        </w:rPr>
        <w:t>información</w:t>
      </w:r>
      <w:r w:rsidR="00E240A3">
        <w:rPr>
          <w:rFonts w:ascii="Arial" w:hAnsi="Arial" w:cs="Arial"/>
          <w:sz w:val="24"/>
        </w:rPr>
        <w:t xml:space="preserve">, </w:t>
      </w:r>
      <w:r w:rsidR="00820D6D" w:rsidRPr="0019540B">
        <w:rPr>
          <w:rFonts w:ascii="Arial" w:hAnsi="Arial" w:cs="Arial"/>
          <w:sz w:val="24"/>
        </w:rPr>
        <w:t xml:space="preserve">por </w:t>
      </w:r>
      <w:r w:rsidR="00820D6D" w:rsidRPr="0019540B">
        <w:rPr>
          <w:rFonts w:ascii="Arial" w:hAnsi="Arial" w:cs="Arial"/>
          <w:sz w:val="24"/>
        </w:rPr>
        <w:lastRenderedPageBreak/>
        <w:t xml:space="preserve">un lado la consulta de las Bases de Datos proporcionadas por la Dirección General de Investigación (DGIP) de la </w:t>
      </w:r>
      <w:proofErr w:type="spellStart"/>
      <w:r w:rsidR="00820D6D" w:rsidRPr="0019540B">
        <w:rPr>
          <w:rFonts w:ascii="Arial" w:hAnsi="Arial" w:cs="Arial"/>
          <w:sz w:val="24"/>
        </w:rPr>
        <w:t>UACh</w:t>
      </w:r>
      <w:proofErr w:type="spellEnd"/>
      <w:r w:rsidR="00820D6D" w:rsidRPr="0019540B">
        <w:rPr>
          <w:rFonts w:ascii="Arial" w:hAnsi="Arial" w:cs="Arial"/>
          <w:sz w:val="24"/>
        </w:rPr>
        <w:t xml:space="preserve"> y por otro la entrevista con informantes de calidad de esta misma institución. </w:t>
      </w:r>
    </w:p>
    <w:p w:rsidR="006E5005" w:rsidRPr="008C1DF2" w:rsidRDefault="006E5005" w:rsidP="006E5005">
      <w:pPr>
        <w:pStyle w:val="Ttulo2"/>
        <w:spacing w:line="360" w:lineRule="auto"/>
        <w:rPr>
          <w:rFonts w:cs="Arial"/>
          <w:i w:val="0"/>
          <w:sz w:val="24"/>
          <w:szCs w:val="24"/>
        </w:rPr>
      </w:pPr>
      <w:r w:rsidRPr="008C1DF2">
        <w:rPr>
          <w:rFonts w:cs="Arial"/>
          <w:i w:val="0"/>
          <w:sz w:val="24"/>
          <w:szCs w:val="24"/>
        </w:rPr>
        <w:t xml:space="preserve">Método </w:t>
      </w:r>
    </w:p>
    <w:p w:rsidR="006E5005" w:rsidRDefault="006E5005" w:rsidP="006E5005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  <w:spacing w:val="-3"/>
          <w:sz w:val="22"/>
        </w:rPr>
      </w:pPr>
    </w:p>
    <w:p w:rsidR="006E5005" w:rsidRPr="008C1DF2" w:rsidRDefault="006E5005" w:rsidP="006E5005">
      <w:pPr>
        <w:pStyle w:val="Textoindependiente"/>
        <w:spacing w:line="360" w:lineRule="auto"/>
        <w:rPr>
          <w:rFonts w:ascii="Arial" w:hAnsi="Arial" w:cs="Arial"/>
          <w:bCs/>
          <w:sz w:val="24"/>
        </w:rPr>
      </w:pPr>
      <w:r w:rsidRPr="008C1DF2">
        <w:rPr>
          <w:rFonts w:ascii="Arial" w:hAnsi="Arial" w:cs="Arial"/>
          <w:bCs/>
          <w:sz w:val="24"/>
        </w:rPr>
        <w:t xml:space="preserve">El presente estudio </w:t>
      </w:r>
      <w:r w:rsidR="00044334" w:rsidRPr="008C1DF2">
        <w:rPr>
          <w:rFonts w:ascii="Arial" w:hAnsi="Arial" w:cs="Arial"/>
          <w:bCs/>
          <w:sz w:val="24"/>
        </w:rPr>
        <w:t>s</w:t>
      </w:r>
      <w:r w:rsidRPr="008C1DF2">
        <w:rPr>
          <w:rFonts w:ascii="Arial" w:hAnsi="Arial" w:cs="Arial"/>
          <w:bCs/>
          <w:sz w:val="24"/>
        </w:rPr>
        <w:t xml:space="preserve">e caracteriza por ser un estudio de </w:t>
      </w:r>
      <w:r w:rsidR="00044334" w:rsidRPr="008C1DF2">
        <w:rPr>
          <w:rFonts w:ascii="Arial" w:hAnsi="Arial" w:cs="Arial"/>
          <w:bCs/>
          <w:sz w:val="24"/>
        </w:rPr>
        <w:t xml:space="preserve">tipo </w:t>
      </w:r>
      <w:r w:rsidRPr="008C1DF2">
        <w:rPr>
          <w:rFonts w:ascii="Arial" w:hAnsi="Arial" w:cs="Arial"/>
          <w:bCs/>
          <w:sz w:val="24"/>
        </w:rPr>
        <w:t xml:space="preserve">exploratorio porque se pretenden conocer las tendencias sobre los modos de </w:t>
      </w:r>
      <w:r w:rsidR="00044334" w:rsidRPr="008C1DF2">
        <w:rPr>
          <w:rFonts w:ascii="Arial" w:hAnsi="Arial" w:cs="Arial"/>
          <w:bCs/>
          <w:sz w:val="24"/>
        </w:rPr>
        <w:t>producción del conocimiento p</w:t>
      </w:r>
      <w:r w:rsidRPr="008C1DF2">
        <w:rPr>
          <w:rFonts w:ascii="Arial" w:hAnsi="Arial" w:cs="Arial"/>
          <w:bCs/>
          <w:sz w:val="24"/>
        </w:rPr>
        <w:t xml:space="preserve">ara el </w:t>
      </w:r>
      <w:r w:rsidR="00044334" w:rsidRPr="008C1DF2">
        <w:rPr>
          <w:rFonts w:ascii="Arial" w:hAnsi="Arial" w:cs="Arial"/>
          <w:bCs/>
          <w:sz w:val="24"/>
        </w:rPr>
        <w:t>s</w:t>
      </w:r>
      <w:r w:rsidRPr="008C1DF2">
        <w:rPr>
          <w:rFonts w:ascii="Arial" w:hAnsi="Arial" w:cs="Arial"/>
          <w:bCs/>
          <w:sz w:val="24"/>
        </w:rPr>
        <w:t>iglo XXI.</w:t>
      </w:r>
      <w:r w:rsidR="00044334" w:rsidRPr="008C1DF2">
        <w:rPr>
          <w:rFonts w:ascii="Arial" w:hAnsi="Arial" w:cs="Arial"/>
          <w:bCs/>
          <w:sz w:val="24"/>
        </w:rPr>
        <w:t xml:space="preserve"> Se hizo </w:t>
      </w:r>
      <w:r w:rsidRPr="008C1DF2">
        <w:rPr>
          <w:rFonts w:ascii="Arial" w:hAnsi="Arial" w:cs="Arial"/>
          <w:bCs/>
          <w:sz w:val="24"/>
        </w:rPr>
        <w:t xml:space="preserve">una revisión detallada de los programas, líneas y proyectos de investigación universitaria y a partir de ello se </w:t>
      </w:r>
      <w:r w:rsidR="00044334" w:rsidRPr="008C1DF2">
        <w:rPr>
          <w:rFonts w:ascii="Arial" w:hAnsi="Arial" w:cs="Arial"/>
          <w:bCs/>
          <w:sz w:val="24"/>
        </w:rPr>
        <w:t xml:space="preserve">llevó a cabo un </w:t>
      </w:r>
      <w:r w:rsidRPr="008C1DF2">
        <w:rPr>
          <w:rFonts w:ascii="Arial" w:hAnsi="Arial" w:cs="Arial"/>
          <w:bCs/>
          <w:sz w:val="24"/>
        </w:rPr>
        <w:t>análisis de la situación de la producción de conocimiento en la universidad. Asimismo se diseñ</w:t>
      </w:r>
      <w:r w:rsidR="00044334" w:rsidRPr="008C1DF2">
        <w:rPr>
          <w:rFonts w:ascii="Arial" w:hAnsi="Arial" w:cs="Arial"/>
          <w:bCs/>
          <w:sz w:val="24"/>
        </w:rPr>
        <w:t xml:space="preserve">ó una </w:t>
      </w:r>
      <w:r w:rsidRPr="008C1DF2">
        <w:rPr>
          <w:rFonts w:ascii="Arial" w:hAnsi="Arial" w:cs="Arial"/>
          <w:bCs/>
          <w:sz w:val="24"/>
        </w:rPr>
        <w:t>entrevista con informantes de calidad para conocer su visión sobre la</w:t>
      </w:r>
      <w:r w:rsidR="00044334" w:rsidRPr="008C1DF2">
        <w:rPr>
          <w:rFonts w:ascii="Arial" w:hAnsi="Arial" w:cs="Arial"/>
          <w:bCs/>
          <w:sz w:val="24"/>
        </w:rPr>
        <w:t xml:space="preserve">s tendencias y opinión sobre la </w:t>
      </w:r>
      <w:r w:rsidRPr="008C1DF2">
        <w:rPr>
          <w:rFonts w:ascii="Arial" w:hAnsi="Arial" w:cs="Arial"/>
          <w:bCs/>
          <w:sz w:val="24"/>
        </w:rPr>
        <w:t xml:space="preserve"> producción del  conocimiento</w:t>
      </w:r>
      <w:r w:rsidR="00044334" w:rsidRPr="008C1DF2">
        <w:rPr>
          <w:rFonts w:ascii="Arial" w:hAnsi="Arial" w:cs="Arial"/>
          <w:bCs/>
          <w:sz w:val="24"/>
        </w:rPr>
        <w:t xml:space="preserve"> en la universidad</w:t>
      </w:r>
      <w:r w:rsidRPr="008C1DF2">
        <w:rPr>
          <w:rFonts w:ascii="Arial" w:hAnsi="Arial" w:cs="Arial"/>
          <w:bCs/>
          <w:sz w:val="24"/>
        </w:rPr>
        <w:t xml:space="preserve">. </w:t>
      </w:r>
    </w:p>
    <w:p w:rsidR="006342F2" w:rsidRDefault="006342F2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</w:p>
    <w:p w:rsidR="00044334" w:rsidRDefault="00044334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Análisis de resultados </w:t>
      </w:r>
    </w:p>
    <w:p w:rsidR="008C1DF2" w:rsidRDefault="008C1DF2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765C00" w:rsidRDefault="00765C00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 w:rsidRPr="00765C00">
        <w:rPr>
          <w:rFonts w:ascii="Arial" w:hAnsi="Arial" w:cs="Arial"/>
          <w:sz w:val="24"/>
        </w:rPr>
        <w:t xml:space="preserve">Lo datos </w:t>
      </w:r>
      <w:r>
        <w:rPr>
          <w:rFonts w:ascii="Arial" w:hAnsi="Arial" w:cs="Arial"/>
          <w:sz w:val="24"/>
        </w:rPr>
        <w:t xml:space="preserve">que aquí se presentan son resultado del análisis de </w:t>
      </w:r>
      <w:r w:rsidR="008C1DF2">
        <w:rPr>
          <w:rFonts w:ascii="Arial" w:hAnsi="Arial" w:cs="Arial"/>
          <w:sz w:val="24"/>
        </w:rPr>
        <w:t>l</w:t>
      </w:r>
      <w:r>
        <w:rPr>
          <w:rFonts w:ascii="Arial" w:hAnsi="Arial" w:cs="Arial"/>
          <w:sz w:val="24"/>
        </w:rPr>
        <w:t xml:space="preserve">a Base de Datos de Dirección General de Investigación y Posgrado de la </w:t>
      </w:r>
      <w:proofErr w:type="spellStart"/>
      <w:r>
        <w:rPr>
          <w:rFonts w:ascii="Arial" w:hAnsi="Arial" w:cs="Arial"/>
          <w:sz w:val="24"/>
        </w:rPr>
        <w:t>UACh</w:t>
      </w:r>
      <w:proofErr w:type="spellEnd"/>
      <w:r w:rsidR="00F60159">
        <w:rPr>
          <w:rFonts w:ascii="Arial" w:hAnsi="Arial" w:cs="Arial"/>
          <w:sz w:val="24"/>
        </w:rPr>
        <w:t xml:space="preserve"> y de las entrevistas a los informantes de calidad que en este análisis se presentan con un número. </w:t>
      </w:r>
    </w:p>
    <w:p w:rsidR="00F60159" w:rsidRDefault="00F60159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</w:p>
    <w:p w:rsidR="00DF7A4F" w:rsidRDefault="00DF7A4F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eastAsiaTheme="minorHAnsi" w:hAnsi="Arial" w:cs="Arial"/>
          <w:b/>
          <w:lang w:eastAsia="en-US"/>
        </w:rPr>
      </w:pPr>
      <w:r w:rsidRPr="00DF7A4F">
        <w:rPr>
          <w:rFonts w:ascii="Arial" w:eastAsiaTheme="minorHAnsi" w:hAnsi="Arial" w:cs="Arial"/>
          <w:b/>
          <w:lang w:eastAsia="en-US"/>
        </w:rPr>
        <w:t xml:space="preserve">a) Tendencia a la investigación aplicada </w:t>
      </w:r>
    </w:p>
    <w:p w:rsidR="00DF7A4F" w:rsidRPr="00DF7A4F" w:rsidRDefault="00DF7A4F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eastAsiaTheme="minorHAnsi" w:hAnsi="Arial" w:cs="Arial"/>
          <w:b/>
          <w:lang w:eastAsia="en-US"/>
        </w:rPr>
      </w:pPr>
    </w:p>
    <w:p w:rsidR="004869E8" w:rsidRDefault="00832A19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La tendencia predominante es el </w:t>
      </w:r>
      <w:r w:rsidR="004869E8" w:rsidRPr="0019540B">
        <w:rPr>
          <w:rFonts w:ascii="Arial" w:eastAsiaTheme="minorHAnsi" w:hAnsi="Arial" w:cs="Arial"/>
          <w:lang w:eastAsia="en-US"/>
        </w:rPr>
        <w:t xml:space="preserve">Modo 2 de producción de conocimiento </w:t>
      </w:r>
      <w:r>
        <w:rPr>
          <w:rFonts w:ascii="Arial" w:eastAsiaTheme="minorHAnsi" w:hAnsi="Arial" w:cs="Arial"/>
          <w:lang w:eastAsia="en-US"/>
        </w:rPr>
        <w:t xml:space="preserve">caracterizada por la </w:t>
      </w:r>
      <w:r w:rsidR="004869E8" w:rsidRPr="0019540B">
        <w:rPr>
          <w:rFonts w:ascii="Arial" w:eastAsiaTheme="minorHAnsi" w:hAnsi="Arial" w:cs="Arial"/>
          <w:lang w:eastAsia="en-US"/>
        </w:rPr>
        <w:t xml:space="preserve">investigación aplicada </w:t>
      </w:r>
      <w:r>
        <w:rPr>
          <w:rFonts w:ascii="Arial" w:eastAsiaTheme="minorHAnsi" w:hAnsi="Arial" w:cs="Arial"/>
          <w:lang w:eastAsia="en-US"/>
        </w:rPr>
        <w:t xml:space="preserve">es decir </w:t>
      </w:r>
      <w:r w:rsidR="004869E8" w:rsidRPr="0019540B">
        <w:rPr>
          <w:rFonts w:ascii="Arial" w:eastAsiaTheme="minorHAnsi" w:hAnsi="Arial" w:cs="Arial"/>
          <w:lang w:eastAsia="en-US"/>
        </w:rPr>
        <w:t xml:space="preserve">el modo de analizar la realidad social, anteponiendo la inmediatez en la resolución de los problemas </w:t>
      </w:r>
      <w:r>
        <w:rPr>
          <w:rFonts w:ascii="Arial" w:eastAsiaTheme="minorHAnsi" w:hAnsi="Arial" w:cs="Arial"/>
          <w:lang w:eastAsia="en-US"/>
        </w:rPr>
        <w:t xml:space="preserve">sociales al interés científico </w:t>
      </w:r>
      <w:r w:rsidR="004869E8" w:rsidRPr="0019540B">
        <w:rPr>
          <w:rFonts w:ascii="Arial" w:eastAsiaTheme="minorHAnsi" w:hAnsi="Arial" w:cs="Arial"/>
          <w:lang w:eastAsia="en-US"/>
        </w:rPr>
        <w:t>(Cívicos y Hernández, 2007, pág. 37-38)</w:t>
      </w:r>
      <w:r w:rsidR="0070055C" w:rsidRPr="0019540B">
        <w:rPr>
          <w:rFonts w:ascii="Arial" w:eastAsiaTheme="minorHAnsi" w:hAnsi="Arial" w:cs="Arial"/>
          <w:lang w:eastAsia="en-US"/>
        </w:rPr>
        <w:t xml:space="preserve">. </w:t>
      </w:r>
    </w:p>
    <w:p w:rsidR="00832A19" w:rsidRPr="0019540B" w:rsidRDefault="00832A19" w:rsidP="0019540B">
      <w:pPr>
        <w:autoSpaceDE w:val="0"/>
        <w:autoSpaceDN w:val="0"/>
        <w:adjustRightInd w:val="0"/>
        <w:spacing w:line="360" w:lineRule="auto"/>
        <w:ind w:right="-284"/>
        <w:jc w:val="both"/>
        <w:rPr>
          <w:rFonts w:ascii="Arial" w:eastAsiaTheme="minorHAnsi" w:hAnsi="Arial" w:cs="Arial"/>
          <w:lang w:eastAsia="en-US"/>
        </w:rPr>
      </w:pPr>
    </w:p>
    <w:p w:rsidR="00F207B5" w:rsidRPr="0019540B" w:rsidRDefault="004730A9" w:rsidP="0019540B">
      <w:pPr>
        <w:spacing w:after="200"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datos reflejan que la </w:t>
      </w:r>
      <w:r w:rsidR="004D6C29" w:rsidRPr="0019540B">
        <w:rPr>
          <w:rFonts w:ascii="Arial" w:hAnsi="Arial" w:cs="Arial"/>
        </w:rPr>
        <w:t xml:space="preserve">investigación aplicada ha sido predominante en la universidad, con menor </w:t>
      </w:r>
      <w:r w:rsidR="003B5AB9" w:rsidRPr="0019540B">
        <w:rPr>
          <w:rFonts w:ascii="Arial" w:hAnsi="Arial" w:cs="Arial"/>
        </w:rPr>
        <w:t>porcentaje los proyectos de investigación básica y los de desarrollo tecnológico</w:t>
      </w:r>
      <w:r w:rsidR="00A47DBF" w:rsidRPr="0019540B">
        <w:rPr>
          <w:rFonts w:ascii="Arial" w:hAnsi="Arial" w:cs="Arial"/>
        </w:rPr>
        <w:t xml:space="preserve">. Durante 9 años los proyectos en investigación básica sumaron un total de 1603, mientras que en investigación aplicada se registraron 3061 proyectos, esto significa el 52% más de proyectos enfocados a la investigación aplicada; y los </w:t>
      </w:r>
      <w:r w:rsidR="00DE3180" w:rsidRPr="0019540B">
        <w:rPr>
          <w:rFonts w:ascii="Arial" w:hAnsi="Arial" w:cs="Arial"/>
        </w:rPr>
        <w:lastRenderedPageBreak/>
        <w:t xml:space="preserve">proyectos de desarrollo tecnológico registrados </w:t>
      </w:r>
      <w:r w:rsidR="00A47DBF" w:rsidRPr="0019540B">
        <w:rPr>
          <w:rFonts w:ascii="Arial" w:hAnsi="Arial" w:cs="Arial"/>
        </w:rPr>
        <w:t xml:space="preserve">fueron </w:t>
      </w:r>
      <w:r w:rsidR="00DE3180" w:rsidRPr="0019540B">
        <w:rPr>
          <w:rFonts w:ascii="Arial" w:hAnsi="Arial" w:cs="Arial"/>
        </w:rPr>
        <w:t xml:space="preserve">solamente 640, </w:t>
      </w:r>
      <w:r w:rsidR="00A47DBF" w:rsidRPr="0019540B">
        <w:rPr>
          <w:rFonts w:ascii="Arial" w:hAnsi="Arial" w:cs="Arial"/>
        </w:rPr>
        <w:t xml:space="preserve">es decir, </w:t>
      </w:r>
      <w:r w:rsidR="00DE3180" w:rsidRPr="0019540B">
        <w:rPr>
          <w:rFonts w:ascii="Arial" w:hAnsi="Arial" w:cs="Arial"/>
        </w:rPr>
        <w:t>el 20% de lo que representa</w:t>
      </w:r>
      <w:r w:rsidR="00A47DBF" w:rsidRPr="0019540B">
        <w:rPr>
          <w:rFonts w:ascii="Arial" w:hAnsi="Arial" w:cs="Arial"/>
        </w:rPr>
        <w:t>ro</w:t>
      </w:r>
      <w:r w:rsidR="00DE3180" w:rsidRPr="0019540B">
        <w:rPr>
          <w:rFonts w:ascii="Arial" w:hAnsi="Arial" w:cs="Arial"/>
        </w:rPr>
        <w:t xml:space="preserve">n los proyectos de investigación aplicada. </w:t>
      </w:r>
    </w:p>
    <w:p w:rsidR="00F207B5" w:rsidRPr="0019540B" w:rsidRDefault="00F207B5" w:rsidP="0019540B">
      <w:pPr>
        <w:spacing w:line="360" w:lineRule="auto"/>
        <w:ind w:right="-284"/>
        <w:jc w:val="center"/>
        <w:outlineLvl w:val="0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Gráfica </w:t>
      </w:r>
      <w:r w:rsidR="00D0150C">
        <w:rPr>
          <w:rFonts w:ascii="Arial" w:hAnsi="Arial" w:cs="Arial"/>
        </w:rPr>
        <w:t>1</w:t>
      </w:r>
      <w:r w:rsidRPr="0019540B">
        <w:rPr>
          <w:rFonts w:ascii="Arial" w:hAnsi="Arial" w:cs="Arial"/>
        </w:rPr>
        <w:t>. Modalidades de producción del conocimiento 2000-20</w:t>
      </w:r>
      <w:r w:rsidR="00B23998" w:rsidRPr="0019540B">
        <w:rPr>
          <w:rFonts w:ascii="Arial" w:hAnsi="Arial" w:cs="Arial"/>
        </w:rPr>
        <w:t>12</w:t>
      </w:r>
    </w:p>
    <w:p w:rsidR="00B23998" w:rsidRPr="0019540B" w:rsidRDefault="00F70F5E" w:rsidP="0019540B">
      <w:pPr>
        <w:spacing w:line="360" w:lineRule="auto"/>
        <w:ind w:right="-284"/>
        <w:jc w:val="both"/>
        <w:outlineLvl w:val="0"/>
        <w:rPr>
          <w:rFonts w:ascii="Arial" w:hAnsi="Arial" w:cs="Arial"/>
        </w:rPr>
      </w:pPr>
      <w:r w:rsidRPr="0019540B">
        <w:rPr>
          <w:rFonts w:ascii="Arial" w:hAnsi="Arial" w:cs="Arial"/>
          <w:noProof/>
          <w:lang w:eastAsia="es-MX"/>
        </w:rPr>
        <w:drawing>
          <wp:inline distT="0" distB="0" distL="0" distR="0" wp14:anchorId="0031C32B" wp14:editId="101904B8">
            <wp:extent cx="5811770" cy="2361733"/>
            <wp:effectExtent l="0" t="0" r="17780" b="1968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07B5" w:rsidRPr="0019540B" w:rsidRDefault="00F207B5" w:rsidP="0019540B">
      <w:pPr>
        <w:spacing w:line="360" w:lineRule="auto"/>
        <w:ind w:right="-284"/>
        <w:jc w:val="both"/>
        <w:outlineLvl w:val="0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Fuente: </w:t>
      </w:r>
      <w:proofErr w:type="spellStart"/>
      <w:r w:rsidRPr="0019540B">
        <w:rPr>
          <w:rFonts w:ascii="Arial" w:hAnsi="Arial" w:cs="Arial"/>
        </w:rPr>
        <w:t>UACh</w:t>
      </w:r>
      <w:proofErr w:type="spellEnd"/>
      <w:r w:rsidRPr="0019540B">
        <w:rPr>
          <w:rFonts w:ascii="Arial" w:hAnsi="Arial" w:cs="Arial"/>
        </w:rPr>
        <w:t xml:space="preserve"> (20</w:t>
      </w:r>
      <w:r w:rsidR="009210BB" w:rsidRPr="0019540B">
        <w:rPr>
          <w:rFonts w:ascii="Arial" w:hAnsi="Arial" w:cs="Arial"/>
        </w:rPr>
        <w:t>10</w:t>
      </w:r>
      <w:r w:rsidRPr="0019540B">
        <w:rPr>
          <w:rFonts w:ascii="Arial" w:hAnsi="Arial" w:cs="Arial"/>
        </w:rPr>
        <w:t>), Base de Datos de los Programas Universitarios de Investigación</w:t>
      </w:r>
    </w:p>
    <w:p w:rsidR="004640AA" w:rsidRDefault="004640AA" w:rsidP="0019540B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p w:rsidR="009A39DE" w:rsidRPr="0019540B" w:rsidRDefault="008A20DD" w:rsidP="0019540B">
      <w:pPr>
        <w:spacing w:line="360" w:lineRule="auto"/>
        <w:ind w:right="-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  <w:r w:rsidR="00DF7A4F">
        <w:rPr>
          <w:rFonts w:ascii="Arial" w:hAnsi="Arial" w:cs="Arial"/>
          <w:b/>
        </w:rPr>
        <w:t xml:space="preserve"> </w:t>
      </w:r>
      <w:r w:rsidR="009A39DE" w:rsidRPr="0019540B">
        <w:rPr>
          <w:rFonts w:ascii="Arial" w:hAnsi="Arial" w:cs="Arial"/>
          <w:b/>
        </w:rPr>
        <w:t xml:space="preserve">Nuevas formas de organización social: hacia la </w:t>
      </w:r>
      <w:proofErr w:type="spellStart"/>
      <w:r w:rsidR="009A39DE" w:rsidRPr="0019540B">
        <w:rPr>
          <w:rFonts w:ascii="Arial" w:hAnsi="Arial" w:cs="Arial"/>
          <w:b/>
        </w:rPr>
        <w:t>transdisciplinariedad</w:t>
      </w:r>
      <w:proofErr w:type="spellEnd"/>
    </w:p>
    <w:p w:rsidR="00F207B5" w:rsidRPr="0019540B" w:rsidRDefault="00A457C3" w:rsidP="00F132DC">
      <w:pPr>
        <w:spacing w:line="360" w:lineRule="auto"/>
        <w:ind w:right="-284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Si bien existen casos de megaproyectos donde </w:t>
      </w:r>
      <w:r w:rsidR="00F132DC">
        <w:rPr>
          <w:rFonts w:ascii="Arial" w:hAnsi="Arial" w:cs="Arial"/>
        </w:rPr>
        <w:t>e integran investigadores de diferentes discip</w:t>
      </w:r>
      <w:r w:rsidR="00094EA7">
        <w:rPr>
          <w:rFonts w:ascii="Arial" w:hAnsi="Arial" w:cs="Arial"/>
        </w:rPr>
        <w:t>l</w:t>
      </w:r>
      <w:r w:rsidR="00F132DC">
        <w:rPr>
          <w:rFonts w:ascii="Arial" w:hAnsi="Arial" w:cs="Arial"/>
        </w:rPr>
        <w:t xml:space="preserve">inas no se puede afirmar que sea la tendencia predominante en la </w:t>
      </w:r>
      <w:proofErr w:type="spellStart"/>
      <w:r w:rsidR="00F132DC">
        <w:rPr>
          <w:rFonts w:ascii="Arial" w:hAnsi="Arial" w:cs="Arial"/>
        </w:rPr>
        <w:t>UACh</w:t>
      </w:r>
      <w:proofErr w:type="spellEnd"/>
      <w:r w:rsidR="00F132DC">
        <w:rPr>
          <w:rFonts w:ascii="Arial" w:hAnsi="Arial" w:cs="Arial"/>
        </w:rPr>
        <w:t xml:space="preserve">. Lo que es un hecho es que existe una marcada tendencia al trabajo grupal por encima del trabajo individual característico de décadas pasadas. </w:t>
      </w:r>
      <w:r w:rsidR="00F207B5" w:rsidRPr="0019540B">
        <w:rPr>
          <w:rFonts w:ascii="Arial" w:hAnsi="Arial" w:cs="Arial"/>
        </w:rPr>
        <w:t>Desde el año 2000 hasta el 20</w:t>
      </w:r>
      <w:r w:rsidR="00AA742B">
        <w:rPr>
          <w:rFonts w:ascii="Arial" w:hAnsi="Arial" w:cs="Arial"/>
        </w:rPr>
        <w:t>11</w:t>
      </w:r>
      <w:r w:rsidR="00F207B5" w:rsidRPr="0019540B">
        <w:rPr>
          <w:rFonts w:ascii="Arial" w:hAnsi="Arial" w:cs="Arial"/>
        </w:rPr>
        <w:t xml:space="preserve"> es evidente el predominio de una forma de organización grupal  por encima de la individual; en todos los años la cifra es superior. </w:t>
      </w:r>
    </w:p>
    <w:p w:rsidR="00F207B5" w:rsidRPr="0019540B" w:rsidRDefault="00F207B5" w:rsidP="0019540B">
      <w:pPr>
        <w:spacing w:line="360" w:lineRule="auto"/>
        <w:ind w:right="-284"/>
        <w:jc w:val="both"/>
        <w:rPr>
          <w:rFonts w:ascii="Arial" w:hAnsi="Arial" w:cs="Arial"/>
        </w:rPr>
      </w:pPr>
    </w:p>
    <w:p w:rsidR="00F207B5" w:rsidRPr="0019540B" w:rsidRDefault="00F207B5" w:rsidP="0019540B">
      <w:pPr>
        <w:spacing w:line="360" w:lineRule="auto"/>
        <w:ind w:right="-284"/>
        <w:jc w:val="center"/>
        <w:outlineLvl w:val="0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Gráfica </w:t>
      </w:r>
      <w:r w:rsidR="00D0150C">
        <w:rPr>
          <w:rFonts w:ascii="Arial" w:hAnsi="Arial" w:cs="Arial"/>
        </w:rPr>
        <w:t>2</w:t>
      </w:r>
      <w:r w:rsidRPr="0019540B">
        <w:rPr>
          <w:rFonts w:ascii="Arial" w:hAnsi="Arial" w:cs="Arial"/>
        </w:rPr>
        <w:t>. Organización para la producción del conocimiento 2000-20</w:t>
      </w:r>
      <w:r w:rsidR="00D0583A" w:rsidRPr="0019540B">
        <w:rPr>
          <w:rFonts w:ascii="Arial" w:hAnsi="Arial" w:cs="Arial"/>
        </w:rPr>
        <w:t>11</w:t>
      </w:r>
    </w:p>
    <w:p w:rsidR="00132838" w:rsidRPr="0019540B" w:rsidRDefault="00D0583A" w:rsidP="0019540B">
      <w:pPr>
        <w:spacing w:line="360" w:lineRule="auto"/>
        <w:ind w:right="-284"/>
        <w:jc w:val="both"/>
        <w:rPr>
          <w:rFonts w:ascii="Arial" w:hAnsi="Arial" w:cs="Arial"/>
        </w:rPr>
      </w:pPr>
      <w:r w:rsidRPr="0019540B">
        <w:rPr>
          <w:rFonts w:ascii="Arial" w:hAnsi="Arial" w:cs="Arial"/>
          <w:noProof/>
          <w:lang w:eastAsia="es-MX"/>
        </w:rPr>
        <w:lastRenderedPageBreak/>
        <w:drawing>
          <wp:inline distT="0" distB="0" distL="0" distR="0" wp14:anchorId="734D6A7B" wp14:editId="7BFAF8AD">
            <wp:extent cx="5183470" cy="2165389"/>
            <wp:effectExtent l="0" t="0" r="17780" b="2540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207B5" w:rsidRPr="004730A9" w:rsidRDefault="00402C2B" w:rsidP="0019540B">
      <w:pPr>
        <w:spacing w:line="360" w:lineRule="auto"/>
        <w:ind w:right="-284"/>
        <w:jc w:val="both"/>
        <w:outlineLvl w:val="0"/>
        <w:rPr>
          <w:rFonts w:ascii="Arial" w:hAnsi="Arial" w:cs="Arial"/>
          <w:sz w:val="20"/>
          <w:szCs w:val="20"/>
        </w:rPr>
      </w:pPr>
      <w:r w:rsidRPr="004730A9">
        <w:rPr>
          <w:rFonts w:ascii="Arial" w:hAnsi="Arial" w:cs="Arial"/>
          <w:sz w:val="20"/>
          <w:szCs w:val="20"/>
        </w:rPr>
        <w:t xml:space="preserve">Fuente: </w:t>
      </w:r>
      <w:proofErr w:type="spellStart"/>
      <w:r w:rsidRPr="004730A9">
        <w:rPr>
          <w:rFonts w:ascii="Arial" w:hAnsi="Arial" w:cs="Arial"/>
          <w:sz w:val="20"/>
          <w:szCs w:val="20"/>
        </w:rPr>
        <w:t>UACh</w:t>
      </w:r>
      <w:proofErr w:type="spellEnd"/>
      <w:r w:rsidRPr="004730A9">
        <w:rPr>
          <w:rFonts w:ascii="Arial" w:hAnsi="Arial" w:cs="Arial"/>
          <w:sz w:val="20"/>
          <w:szCs w:val="20"/>
        </w:rPr>
        <w:t xml:space="preserve"> (201</w:t>
      </w:r>
      <w:r w:rsidR="00986514" w:rsidRPr="004730A9">
        <w:rPr>
          <w:rFonts w:ascii="Arial" w:hAnsi="Arial" w:cs="Arial"/>
          <w:sz w:val="20"/>
          <w:szCs w:val="20"/>
        </w:rPr>
        <w:t>1</w:t>
      </w:r>
      <w:r w:rsidR="00F207B5" w:rsidRPr="004730A9">
        <w:rPr>
          <w:rFonts w:ascii="Arial" w:hAnsi="Arial" w:cs="Arial"/>
          <w:sz w:val="20"/>
          <w:szCs w:val="20"/>
        </w:rPr>
        <w:t>), Base de Datos de los Programas Universitarios de Investigación</w:t>
      </w:r>
    </w:p>
    <w:p w:rsidR="0068164F" w:rsidRPr="0019540B" w:rsidRDefault="00DF7A4F" w:rsidP="0019540B">
      <w:pPr>
        <w:spacing w:line="360" w:lineRule="auto"/>
        <w:ind w:right="-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c) </w:t>
      </w:r>
      <w:r w:rsidR="0068164F" w:rsidRPr="0019540B">
        <w:rPr>
          <w:rFonts w:ascii="Arial" w:hAnsi="Arial" w:cs="Arial"/>
          <w:b/>
        </w:rPr>
        <w:t xml:space="preserve">Responsabilidad social </w:t>
      </w:r>
    </w:p>
    <w:p w:rsidR="00F207B5" w:rsidRPr="0019540B" w:rsidRDefault="004730A9" w:rsidP="0019540B">
      <w:p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su carácter de institución pública la </w:t>
      </w:r>
      <w:proofErr w:type="spellStart"/>
      <w:r w:rsidR="00F207B5" w:rsidRPr="0019540B">
        <w:rPr>
          <w:rFonts w:ascii="Arial" w:hAnsi="Arial" w:cs="Arial"/>
        </w:rPr>
        <w:t>UACh</w:t>
      </w:r>
      <w:proofErr w:type="spellEnd"/>
      <w:r w:rsidR="00F207B5" w:rsidRPr="0019540B">
        <w:rPr>
          <w:rFonts w:ascii="Arial" w:hAnsi="Arial" w:cs="Arial"/>
        </w:rPr>
        <w:t xml:space="preserve"> se ha enfocad</w:t>
      </w:r>
      <w:r w:rsidR="00651136">
        <w:rPr>
          <w:rFonts w:ascii="Arial" w:hAnsi="Arial" w:cs="Arial"/>
        </w:rPr>
        <w:t>o</w:t>
      </w:r>
      <w:r w:rsidR="00F207B5" w:rsidRPr="0019540B">
        <w:rPr>
          <w:rFonts w:ascii="Arial" w:hAnsi="Arial" w:cs="Arial"/>
        </w:rPr>
        <w:t xml:space="preserve"> a atender predominantemente </w:t>
      </w:r>
      <w:r w:rsidR="00651136">
        <w:rPr>
          <w:rFonts w:ascii="Arial" w:hAnsi="Arial" w:cs="Arial"/>
        </w:rPr>
        <w:t>los problemas del sector público</w:t>
      </w:r>
      <w:r w:rsidR="000764B5">
        <w:rPr>
          <w:rFonts w:ascii="Arial" w:hAnsi="Arial" w:cs="Arial"/>
        </w:rPr>
        <w:t xml:space="preserve"> durante el periodo 2004-20012 </w:t>
      </w:r>
      <w:r w:rsidR="00D7136B">
        <w:rPr>
          <w:rFonts w:ascii="Arial" w:hAnsi="Arial" w:cs="Arial"/>
        </w:rPr>
        <w:t xml:space="preserve">ha sido el público </w:t>
      </w:r>
      <w:r w:rsidR="000764B5">
        <w:rPr>
          <w:rFonts w:ascii="Arial" w:hAnsi="Arial" w:cs="Arial"/>
        </w:rPr>
        <w:t xml:space="preserve">en contraste a la poca atención </w:t>
      </w:r>
      <w:r w:rsidR="00D7136B">
        <w:rPr>
          <w:rFonts w:ascii="Arial" w:hAnsi="Arial" w:cs="Arial"/>
        </w:rPr>
        <w:t>al se</w:t>
      </w:r>
      <w:r w:rsidR="00DC4B8B">
        <w:rPr>
          <w:rFonts w:ascii="Arial" w:hAnsi="Arial" w:cs="Arial"/>
        </w:rPr>
        <w:t xml:space="preserve">ctor privado. </w:t>
      </w:r>
      <w:r w:rsidR="00BF1080">
        <w:rPr>
          <w:rFonts w:ascii="Arial" w:hAnsi="Arial" w:cs="Arial"/>
        </w:rPr>
        <w:t xml:space="preserve">En </w:t>
      </w:r>
      <w:r w:rsidR="00F207B5" w:rsidRPr="0019540B">
        <w:rPr>
          <w:rFonts w:ascii="Arial" w:hAnsi="Arial" w:cs="Arial"/>
        </w:rPr>
        <w:t xml:space="preserve">2004 el </w:t>
      </w:r>
      <w:r w:rsidR="00BF1080">
        <w:rPr>
          <w:rFonts w:ascii="Arial" w:hAnsi="Arial" w:cs="Arial"/>
        </w:rPr>
        <w:t xml:space="preserve">93.4% de los proyectos estaban enfocados a atender al sector público, mientras que sólo el 6.57% se enfocaba al sector privado; en </w:t>
      </w:r>
      <w:r w:rsidR="00F207B5" w:rsidRPr="0019540B">
        <w:rPr>
          <w:rFonts w:ascii="Arial" w:hAnsi="Arial" w:cs="Arial"/>
        </w:rPr>
        <w:t xml:space="preserve">2005 el </w:t>
      </w:r>
      <w:r w:rsidR="00BF1080">
        <w:rPr>
          <w:rFonts w:ascii="Arial" w:hAnsi="Arial" w:cs="Arial"/>
        </w:rPr>
        <w:t xml:space="preserve">89.9% era para el sector </w:t>
      </w:r>
      <w:r w:rsidR="00F207B5" w:rsidRPr="0019540B">
        <w:rPr>
          <w:rFonts w:ascii="Arial" w:hAnsi="Arial" w:cs="Arial"/>
        </w:rPr>
        <w:t xml:space="preserve">público y </w:t>
      </w:r>
      <w:r w:rsidR="00BF1080">
        <w:rPr>
          <w:rFonts w:ascii="Arial" w:hAnsi="Arial" w:cs="Arial"/>
        </w:rPr>
        <w:t xml:space="preserve">el 10.1% para el </w:t>
      </w:r>
      <w:r w:rsidR="00F207B5" w:rsidRPr="0019540B">
        <w:rPr>
          <w:rFonts w:ascii="Arial" w:hAnsi="Arial" w:cs="Arial"/>
        </w:rPr>
        <w:t xml:space="preserve">privado; en 2006 el </w:t>
      </w:r>
      <w:r w:rsidR="00964781">
        <w:rPr>
          <w:rFonts w:ascii="Arial" w:hAnsi="Arial" w:cs="Arial"/>
        </w:rPr>
        <w:t xml:space="preserve">92.4% para el </w:t>
      </w:r>
      <w:r w:rsidR="00F207B5" w:rsidRPr="0019540B">
        <w:rPr>
          <w:rFonts w:ascii="Arial" w:hAnsi="Arial" w:cs="Arial"/>
        </w:rPr>
        <w:t xml:space="preserve">sector público y el </w:t>
      </w:r>
      <w:r w:rsidR="00964781">
        <w:rPr>
          <w:rFonts w:ascii="Arial" w:hAnsi="Arial" w:cs="Arial"/>
        </w:rPr>
        <w:t>7.</w:t>
      </w:r>
      <w:r w:rsidR="00F207B5" w:rsidRPr="0019540B">
        <w:rPr>
          <w:rFonts w:ascii="Arial" w:hAnsi="Arial" w:cs="Arial"/>
        </w:rPr>
        <w:t xml:space="preserve">6% </w:t>
      </w:r>
      <w:r w:rsidR="00964781">
        <w:rPr>
          <w:rFonts w:ascii="Arial" w:hAnsi="Arial" w:cs="Arial"/>
        </w:rPr>
        <w:t>al privado</w:t>
      </w:r>
      <w:r w:rsidR="00DC4B8B">
        <w:rPr>
          <w:rFonts w:ascii="Arial" w:hAnsi="Arial" w:cs="Arial"/>
        </w:rPr>
        <w:t xml:space="preserve">; </w:t>
      </w:r>
      <w:r w:rsidR="00F207B5" w:rsidRPr="0019540B">
        <w:rPr>
          <w:rFonts w:ascii="Arial" w:hAnsi="Arial" w:cs="Arial"/>
        </w:rPr>
        <w:t xml:space="preserve">en 2007 el </w:t>
      </w:r>
      <w:r w:rsidR="00DC4B8B">
        <w:rPr>
          <w:rFonts w:ascii="Arial" w:hAnsi="Arial" w:cs="Arial"/>
        </w:rPr>
        <w:t xml:space="preserve">93.3% era para el </w:t>
      </w:r>
      <w:r w:rsidR="00F207B5" w:rsidRPr="0019540B">
        <w:rPr>
          <w:rFonts w:ascii="Arial" w:hAnsi="Arial" w:cs="Arial"/>
        </w:rPr>
        <w:t>público y el 6</w:t>
      </w:r>
      <w:r w:rsidR="00DC4B8B">
        <w:rPr>
          <w:rFonts w:ascii="Arial" w:hAnsi="Arial" w:cs="Arial"/>
        </w:rPr>
        <w:t>.7</w:t>
      </w:r>
      <w:r w:rsidR="00F207B5" w:rsidRPr="0019540B">
        <w:rPr>
          <w:rFonts w:ascii="Arial" w:hAnsi="Arial" w:cs="Arial"/>
        </w:rPr>
        <w:t>% al privado; y para 2008</w:t>
      </w:r>
      <w:r w:rsidR="00651136">
        <w:rPr>
          <w:rFonts w:ascii="Arial" w:hAnsi="Arial" w:cs="Arial"/>
        </w:rPr>
        <w:t xml:space="preserve"> </w:t>
      </w:r>
      <w:r w:rsidR="00F207B5" w:rsidRPr="0019540B">
        <w:rPr>
          <w:rFonts w:ascii="Arial" w:hAnsi="Arial" w:cs="Arial"/>
        </w:rPr>
        <w:t xml:space="preserve">el </w:t>
      </w:r>
      <w:r w:rsidR="00DC4B8B">
        <w:rPr>
          <w:rFonts w:ascii="Arial" w:hAnsi="Arial" w:cs="Arial"/>
        </w:rPr>
        <w:t xml:space="preserve">93.6% para el </w:t>
      </w:r>
      <w:r w:rsidR="00F207B5" w:rsidRPr="0019540B">
        <w:rPr>
          <w:rFonts w:ascii="Arial" w:hAnsi="Arial" w:cs="Arial"/>
        </w:rPr>
        <w:t xml:space="preserve">público y el </w:t>
      </w:r>
      <w:r w:rsidR="00DC4B8B">
        <w:rPr>
          <w:rFonts w:ascii="Arial" w:hAnsi="Arial" w:cs="Arial"/>
        </w:rPr>
        <w:t xml:space="preserve">6.3% al </w:t>
      </w:r>
      <w:r w:rsidR="00F207B5" w:rsidRPr="0019540B">
        <w:rPr>
          <w:rFonts w:ascii="Arial" w:hAnsi="Arial" w:cs="Arial"/>
        </w:rPr>
        <w:t>privado</w:t>
      </w:r>
      <w:r w:rsidR="00DC4B8B">
        <w:rPr>
          <w:rFonts w:ascii="Arial" w:hAnsi="Arial" w:cs="Arial"/>
        </w:rPr>
        <w:t xml:space="preserve">; en 2009 el 92.3% representó para el público y el 7.7% para privado; el 2010 el 95.7% fue para el sector público y el 4.2% para el privado; en 2011 el 96.6% para el público y 3.3% para el privado; en 2012 el 96.7% para el público y el 3.2% para el privado. </w:t>
      </w:r>
      <w:r w:rsidR="000A79CA">
        <w:rPr>
          <w:rFonts w:ascii="Arial" w:hAnsi="Arial" w:cs="Arial"/>
        </w:rPr>
        <w:t xml:space="preserve">En doce años más del 90% de atención se centró en </w:t>
      </w:r>
      <w:r w:rsidR="0091296C">
        <w:rPr>
          <w:rFonts w:ascii="Arial" w:hAnsi="Arial" w:cs="Arial"/>
        </w:rPr>
        <w:t xml:space="preserve">el </w:t>
      </w:r>
      <w:r w:rsidR="000A79CA">
        <w:rPr>
          <w:rFonts w:ascii="Arial" w:hAnsi="Arial" w:cs="Arial"/>
        </w:rPr>
        <w:t xml:space="preserve">sector público y en un menor porcentaje en el privado. </w:t>
      </w:r>
      <w:r w:rsidR="00F207B5" w:rsidRPr="0019540B">
        <w:rPr>
          <w:rFonts w:ascii="Arial" w:hAnsi="Arial" w:cs="Arial"/>
        </w:rPr>
        <w:t xml:space="preserve">En una tendencia minoritaria </w:t>
      </w:r>
      <w:r w:rsidR="0091296C">
        <w:rPr>
          <w:rFonts w:ascii="Arial" w:hAnsi="Arial" w:cs="Arial"/>
        </w:rPr>
        <w:t xml:space="preserve">se presentaron beneficios para las </w:t>
      </w:r>
      <w:r w:rsidR="00F207B5" w:rsidRPr="0019540B">
        <w:rPr>
          <w:rFonts w:ascii="Arial" w:hAnsi="Arial" w:cs="Arial"/>
        </w:rPr>
        <w:t>Organizaciones No Gubernamentales (ONG)</w:t>
      </w:r>
      <w:r w:rsidR="00DC4B8B">
        <w:rPr>
          <w:rFonts w:ascii="Arial" w:hAnsi="Arial" w:cs="Arial"/>
        </w:rPr>
        <w:t xml:space="preserve">. </w:t>
      </w:r>
      <w:r w:rsidR="00651136">
        <w:rPr>
          <w:rFonts w:ascii="Arial" w:hAnsi="Arial" w:cs="Arial"/>
        </w:rPr>
        <w:t xml:space="preserve"> </w:t>
      </w:r>
    </w:p>
    <w:p w:rsidR="00505277" w:rsidRPr="0019540B" w:rsidRDefault="00505277" w:rsidP="0019540B">
      <w:pPr>
        <w:spacing w:line="360" w:lineRule="auto"/>
        <w:ind w:right="-284"/>
        <w:jc w:val="both"/>
        <w:rPr>
          <w:rFonts w:ascii="Arial" w:hAnsi="Arial" w:cs="Arial"/>
        </w:rPr>
      </w:pPr>
    </w:p>
    <w:p w:rsidR="00F207B5" w:rsidRPr="0019540B" w:rsidRDefault="00F207B5" w:rsidP="0019540B">
      <w:pPr>
        <w:spacing w:line="360" w:lineRule="auto"/>
        <w:ind w:right="-284"/>
        <w:jc w:val="both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Con base en los proyectos registrados durante el periodo 2004-2008 </w:t>
      </w:r>
      <w:r w:rsidR="001A4214">
        <w:rPr>
          <w:rFonts w:ascii="Arial" w:hAnsi="Arial" w:cs="Arial"/>
        </w:rPr>
        <w:t xml:space="preserve">de los cuales se tiene registro, </w:t>
      </w:r>
      <w:r w:rsidRPr="0019540B">
        <w:rPr>
          <w:rFonts w:ascii="Arial" w:hAnsi="Arial" w:cs="Arial"/>
        </w:rPr>
        <w:t xml:space="preserve">se observa que en 2004 </w:t>
      </w:r>
      <w:r w:rsidR="00BD79B5">
        <w:rPr>
          <w:rFonts w:ascii="Arial" w:hAnsi="Arial" w:cs="Arial"/>
        </w:rPr>
        <w:t>92.4% de los proyectos estaban enfocados a</w:t>
      </w:r>
      <w:r w:rsidR="00D0150C">
        <w:rPr>
          <w:rFonts w:ascii="Arial" w:hAnsi="Arial" w:cs="Arial"/>
        </w:rPr>
        <w:t xml:space="preserve"> atender su responsabilidad social </w:t>
      </w:r>
      <w:r w:rsidR="00BD79B5">
        <w:rPr>
          <w:rFonts w:ascii="Arial" w:hAnsi="Arial" w:cs="Arial"/>
        </w:rPr>
        <w:t xml:space="preserve">y sólo 7.5% al sector empresarial; en 2005 la tendencia fue 91.2% al sector social y 8.7% al empresarial; en 2006 el 92.3% al sector social y 7.6% al empresarial; en 2007 el 93.9% al social y el 6.0% al empresarial; en 2008 el 95.3% al empresarial y el 4.6% al empresarial; en 2009 el 94.4% al social y 5.5% al empresarial; en 2010 el 94.3% al social y el 5.6% al empresarial; en 2011 el </w:t>
      </w:r>
      <w:r w:rsidR="00BD79B5">
        <w:rPr>
          <w:rFonts w:ascii="Arial" w:hAnsi="Arial" w:cs="Arial"/>
        </w:rPr>
        <w:lastRenderedPageBreak/>
        <w:t xml:space="preserve">95.2% al social y el 4.7% al empresarial, en </w:t>
      </w:r>
      <w:r w:rsidR="007F3549">
        <w:rPr>
          <w:rFonts w:ascii="Arial" w:hAnsi="Arial" w:cs="Arial"/>
        </w:rPr>
        <w:t xml:space="preserve">2012 el 97.0% al social y 2.9% al empresarial. </w:t>
      </w:r>
      <w:r w:rsidR="007C791E">
        <w:rPr>
          <w:rFonts w:ascii="Arial" w:hAnsi="Arial" w:cs="Arial"/>
        </w:rPr>
        <w:t xml:space="preserve">Con estos datos es evidente que </w:t>
      </w:r>
      <w:r w:rsidR="007C791E" w:rsidRPr="0019540B">
        <w:rPr>
          <w:rFonts w:ascii="Arial" w:hAnsi="Arial" w:cs="Arial"/>
        </w:rPr>
        <w:t xml:space="preserve">la universidad </w:t>
      </w:r>
      <w:r w:rsidR="007C791E">
        <w:rPr>
          <w:rFonts w:ascii="Arial" w:hAnsi="Arial" w:cs="Arial"/>
        </w:rPr>
        <w:t xml:space="preserve">y los investigadores, más del 90% durante 9 años consecutivos  realizaron más proyectos de atención social que empresarial. </w:t>
      </w:r>
    </w:p>
    <w:p w:rsidR="00A65191" w:rsidRDefault="00A65191" w:rsidP="006342F2">
      <w:pPr>
        <w:ind w:right="-284"/>
        <w:jc w:val="center"/>
        <w:rPr>
          <w:rFonts w:ascii="Arial" w:hAnsi="Arial" w:cs="Arial"/>
          <w:sz w:val="20"/>
          <w:szCs w:val="20"/>
        </w:rPr>
      </w:pPr>
    </w:p>
    <w:p w:rsidR="00F207B5" w:rsidRPr="006342F2" w:rsidRDefault="00F207B5" w:rsidP="006342F2">
      <w:pPr>
        <w:ind w:right="-284"/>
        <w:jc w:val="center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Gráfica </w:t>
      </w:r>
      <w:r w:rsidR="00D0150C">
        <w:rPr>
          <w:rFonts w:ascii="Arial" w:hAnsi="Arial" w:cs="Arial"/>
          <w:sz w:val="20"/>
          <w:szCs w:val="20"/>
        </w:rPr>
        <w:t>3</w:t>
      </w:r>
      <w:r w:rsidRPr="006342F2">
        <w:rPr>
          <w:rFonts w:ascii="Arial" w:hAnsi="Arial" w:cs="Arial"/>
          <w:sz w:val="20"/>
          <w:szCs w:val="20"/>
        </w:rPr>
        <w:t xml:space="preserve"> Tipo se sector beneficiado en la producción</w:t>
      </w:r>
    </w:p>
    <w:p w:rsidR="00C40533" w:rsidRPr="006342F2" w:rsidRDefault="00F207B5" w:rsidP="006342F2">
      <w:pPr>
        <w:ind w:right="-284"/>
        <w:jc w:val="center"/>
        <w:rPr>
          <w:rFonts w:ascii="Arial" w:hAnsi="Arial" w:cs="Arial"/>
          <w:sz w:val="20"/>
          <w:szCs w:val="20"/>
        </w:rPr>
      </w:pPr>
      <w:proofErr w:type="gramStart"/>
      <w:r w:rsidRPr="006342F2">
        <w:rPr>
          <w:rFonts w:ascii="Arial" w:hAnsi="Arial" w:cs="Arial"/>
          <w:sz w:val="20"/>
          <w:szCs w:val="20"/>
        </w:rPr>
        <w:t>de</w:t>
      </w:r>
      <w:proofErr w:type="gramEnd"/>
      <w:r w:rsidRPr="006342F2">
        <w:rPr>
          <w:rFonts w:ascii="Arial" w:hAnsi="Arial" w:cs="Arial"/>
          <w:sz w:val="20"/>
          <w:szCs w:val="20"/>
        </w:rPr>
        <w:t xml:space="preserve"> conocimiento en 2000-20</w:t>
      </w:r>
      <w:r w:rsidR="000B7DF8" w:rsidRPr="006342F2">
        <w:rPr>
          <w:rFonts w:ascii="Arial" w:hAnsi="Arial" w:cs="Arial"/>
          <w:sz w:val="20"/>
          <w:szCs w:val="20"/>
        </w:rPr>
        <w:t>12</w:t>
      </w:r>
    </w:p>
    <w:p w:rsidR="00F207B5" w:rsidRPr="0019540B" w:rsidRDefault="00896E7B" w:rsidP="0019540B">
      <w:pPr>
        <w:spacing w:line="360" w:lineRule="auto"/>
        <w:ind w:right="-284"/>
        <w:jc w:val="both"/>
        <w:rPr>
          <w:rFonts w:ascii="Arial" w:hAnsi="Arial" w:cs="Arial"/>
        </w:rPr>
      </w:pPr>
      <w:r w:rsidRPr="0019540B">
        <w:rPr>
          <w:rFonts w:ascii="Arial" w:hAnsi="Arial" w:cs="Arial"/>
          <w:noProof/>
          <w:lang w:eastAsia="es-MX"/>
        </w:rPr>
        <w:drawing>
          <wp:inline distT="0" distB="0" distL="0" distR="0" wp14:anchorId="42A826E2" wp14:editId="47E8857E">
            <wp:extent cx="5194690" cy="1929776"/>
            <wp:effectExtent l="0" t="0" r="25400" b="13335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07B5" w:rsidRPr="004730A9" w:rsidRDefault="00F207B5" w:rsidP="0019540B">
      <w:pPr>
        <w:spacing w:line="360" w:lineRule="auto"/>
        <w:ind w:right="-284"/>
        <w:jc w:val="both"/>
        <w:outlineLvl w:val="0"/>
        <w:rPr>
          <w:rFonts w:ascii="Arial" w:hAnsi="Arial" w:cs="Arial"/>
          <w:sz w:val="20"/>
          <w:szCs w:val="20"/>
        </w:rPr>
      </w:pPr>
      <w:r w:rsidRPr="004730A9">
        <w:rPr>
          <w:rFonts w:ascii="Arial" w:hAnsi="Arial" w:cs="Arial"/>
          <w:sz w:val="20"/>
          <w:szCs w:val="20"/>
        </w:rPr>
        <w:t xml:space="preserve">Fuente: </w:t>
      </w:r>
      <w:proofErr w:type="spellStart"/>
      <w:r w:rsidRPr="004730A9">
        <w:rPr>
          <w:rFonts w:ascii="Arial" w:hAnsi="Arial" w:cs="Arial"/>
          <w:sz w:val="20"/>
          <w:szCs w:val="20"/>
        </w:rPr>
        <w:t>UACh</w:t>
      </w:r>
      <w:proofErr w:type="spellEnd"/>
      <w:r w:rsidRPr="004730A9">
        <w:rPr>
          <w:rFonts w:ascii="Arial" w:hAnsi="Arial" w:cs="Arial"/>
          <w:sz w:val="20"/>
          <w:szCs w:val="20"/>
        </w:rPr>
        <w:t xml:space="preserve"> (20</w:t>
      </w:r>
      <w:r w:rsidR="00896E7B" w:rsidRPr="004730A9">
        <w:rPr>
          <w:rFonts w:ascii="Arial" w:hAnsi="Arial" w:cs="Arial"/>
          <w:sz w:val="20"/>
          <w:szCs w:val="20"/>
        </w:rPr>
        <w:t>12</w:t>
      </w:r>
      <w:r w:rsidRPr="004730A9">
        <w:rPr>
          <w:rFonts w:ascii="Arial" w:hAnsi="Arial" w:cs="Arial"/>
          <w:sz w:val="20"/>
          <w:szCs w:val="20"/>
        </w:rPr>
        <w:t>), Base de Datos de los Programas Universitarios de Investigación</w:t>
      </w:r>
    </w:p>
    <w:p w:rsidR="00DF7A4F" w:rsidRDefault="00DF7A4F" w:rsidP="00AB3472">
      <w:pPr>
        <w:spacing w:line="360" w:lineRule="auto"/>
        <w:ind w:right="-284"/>
        <w:jc w:val="both"/>
        <w:rPr>
          <w:rFonts w:ascii="Arial" w:hAnsi="Arial" w:cs="Arial"/>
        </w:rPr>
      </w:pPr>
    </w:p>
    <w:p w:rsidR="00AB3472" w:rsidRDefault="00230258" w:rsidP="00AB3472">
      <w:p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acuerdo con la base de datos de la DGIP durante el periodo </w:t>
      </w:r>
      <w:r w:rsidR="00F207B5" w:rsidRPr="0019540B">
        <w:rPr>
          <w:rFonts w:ascii="Arial" w:hAnsi="Arial" w:cs="Arial"/>
        </w:rPr>
        <w:t xml:space="preserve">2004-2008 se </w:t>
      </w:r>
      <w:r>
        <w:rPr>
          <w:rFonts w:ascii="Arial" w:hAnsi="Arial" w:cs="Arial"/>
        </w:rPr>
        <w:t xml:space="preserve">observa que </w:t>
      </w:r>
      <w:r w:rsidR="00B262BB">
        <w:rPr>
          <w:rFonts w:ascii="Arial" w:hAnsi="Arial" w:cs="Arial"/>
        </w:rPr>
        <w:t>los proyectos enfocados a atender a los ejidos son escasos, escasamente rebasan los 60 proyectos en 2004 que es la cifra más alta en 9 años porque para 2012 sólo llegan a 36 proye</w:t>
      </w:r>
      <w:r w:rsidR="00151FEF">
        <w:rPr>
          <w:rFonts w:ascii="Arial" w:hAnsi="Arial" w:cs="Arial"/>
        </w:rPr>
        <w:t xml:space="preserve">ctos de atención a ejidatarios. </w:t>
      </w:r>
      <w:r w:rsidR="00AB3472" w:rsidRPr="0019540B">
        <w:rPr>
          <w:rFonts w:ascii="Arial" w:hAnsi="Arial" w:cs="Arial"/>
        </w:rPr>
        <w:t xml:space="preserve">Pareciera ser que en contrasentido a los objetivos y principios que dieron origen a la creación </w:t>
      </w:r>
      <w:proofErr w:type="spellStart"/>
      <w:r w:rsidR="00AB3472" w:rsidRPr="0019540B">
        <w:rPr>
          <w:rFonts w:ascii="Arial" w:hAnsi="Arial" w:cs="Arial"/>
        </w:rPr>
        <w:t>UACh</w:t>
      </w:r>
      <w:proofErr w:type="spellEnd"/>
      <w:r w:rsidR="00AB3472" w:rsidRPr="0019540B">
        <w:rPr>
          <w:rFonts w:ascii="Arial" w:hAnsi="Arial" w:cs="Arial"/>
        </w:rPr>
        <w:t xml:space="preserve"> para atender las necesidades de la sociedad, del sector rural y de los campesinos, la atención a comunidades es escasamente superior al 20% de los proyectos; mientras que la atención a ejidatarios es de 8% como máximo. </w:t>
      </w:r>
      <w:r w:rsidR="00AB3472">
        <w:rPr>
          <w:rFonts w:ascii="Arial" w:hAnsi="Arial" w:cs="Arial"/>
        </w:rPr>
        <w:t xml:space="preserve">Esta situación abre una discusión sobre el mismo lema de la universidad </w:t>
      </w:r>
      <w:r w:rsidR="00E414B6">
        <w:rPr>
          <w:rFonts w:ascii="Arial" w:hAnsi="Arial" w:cs="Arial"/>
        </w:rPr>
        <w:t xml:space="preserve">“Enseñar la explotación de la tierra no la del hombre” </w:t>
      </w:r>
      <w:r w:rsidR="00AB3472">
        <w:rPr>
          <w:rFonts w:ascii="Arial" w:hAnsi="Arial" w:cs="Arial"/>
        </w:rPr>
        <w:t xml:space="preserve">tendencia predominante durante la década de los setenta y ochenta, pero que en los noventa e inicio del siglo XXI </w:t>
      </w:r>
      <w:r w:rsidR="00A92CEA">
        <w:rPr>
          <w:rFonts w:ascii="Arial" w:hAnsi="Arial" w:cs="Arial"/>
        </w:rPr>
        <w:t>no son subsectores prioritarios de atención por parte de la universidad.</w:t>
      </w:r>
      <w:r w:rsidR="00E414B6">
        <w:rPr>
          <w:rFonts w:ascii="Arial" w:hAnsi="Arial" w:cs="Arial"/>
        </w:rPr>
        <w:t xml:space="preserve"> </w:t>
      </w:r>
      <w:r w:rsidR="00D760BC">
        <w:rPr>
          <w:rFonts w:ascii="Arial" w:hAnsi="Arial" w:cs="Arial"/>
        </w:rPr>
        <w:t xml:space="preserve"> </w:t>
      </w:r>
    </w:p>
    <w:p w:rsidR="00AB3472" w:rsidRDefault="00AB3472" w:rsidP="00AB3472">
      <w:pPr>
        <w:spacing w:line="360" w:lineRule="auto"/>
        <w:ind w:right="-284"/>
        <w:jc w:val="both"/>
        <w:rPr>
          <w:rFonts w:ascii="Arial" w:hAnsi="Arial" w:cs="Arial"/>
        </w:rPr>
      </w:pPr>
    </w:p>
    <w:p w:rsidR="00F207B5" w:rsidRPr="0019540B" w:rsidRDefault="00F207B5" w:rsidP="00771C6A">
      <w:pPr>
        <w:spacing w:line="360" w:lineRule="auto"/>
        <w:ind w:right="-284"/>
        <w:jc w:val="center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Gráfica </w:t>
      </w:r>
      <w:r w:rsidR="00D0150C">
        <w:rPr>
          <w:rFonts w:ascii="Arial" w:hAnsi="Arial" w:cs="Arial"/>
        </w:rPr>
        <w:t>4</w:t>
      </w:r>
      <w:r w:rsidRPr="0019540B">
        <w:rPr>
          <w:rFonts w:ascii="Arial" w:hAnsi="Arial" w:cs="Arial"/>
        </w:rPr>
        <w:t>. Tipo de subsector social beneficiado con la producción de</w:t>
      </w:r>
    </w:p>
    <w:p w:rsidR="00F207B5" w:rsidRPr="0019540B" w:rsidRDefault="00F207B5" w:rsidP="00771C6A">
      <w:pPr>
        <w:spacing w:line="360" w:lineRule="auto"/>
        <w:ind w:right="-284"/>
        <w:jc w:val="center"/>
        <w:rPr>
          <w:rFonts w:ascii="Arial" w:hAnsi="Arial" w:cs="Arial"/>
        </w:rPr>
      </w:pPr>
      <w:r w:rsidRPr="0019540B">
        <w:rPr>
          <w:rFonts w:ascii="Arial" w:hAnsi="Arial" w:cs="Arial"/>
        </w:rPr>
        <w:t>Conocimiento 2000-20</w:t>
      </w:r>
      <w:r w:rsidR="009210BB" w:rsidRPr="0019540B">
        <w:rPr>
          <w:rFonts w:ascii="Arial" w:hAnsi="Arial" w:cs="Arial"/>
        </w:rPr>
        <w:t>10</w:t>
      </w:r>
    </w:p>
    <w:p w:rsidR="00F207B5" w:rsidRPr="0019540B" w:rsidRDefault="00896E7B" w:rsidP="0019540B">
      <w:pPr>
        <w:spacing w:line="360" w:lineRule="auto"/>
        <w:ind w:right="-284"/>
        <w:jc w:val="both"/>
        <w:rPr>
          <w:rFonts w:ascii="Arial" w:hAnsi="Arial" w:cs="Arial"/>
        </w:rPr>
      </w:pPr>
      <w:r w:rsidRPr="0019540B">
        <w:rPr>
          <w:rFonts w:ascii="Arial" w:hAnsi="Arial" w:cs="Arial"/>
          <w:noProof/>
          <w:lang w:eastAsia="es-MX"/>
        </w:rPr>
        <w:lastRenderedPageBreak/>
        <w:drawing>
          <wp:inline distT="0" distB="0" distL="0" distR="0" wp14:anchorId="3E560100" wp14:editId="047128C2">
            <wp:extent cx="5827594" cy="2770495"/>
            <wp:effectExtent l="0" t="0" r="1905" b="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207B5" w:rsidRPr="0019540B" w:rsidRDefault="00F207B5" w:rsidP="0019540B">
      <w:pPr>
        <w:spacing w:line="360" w:lineRule="auto"/>
        <w:ind w:right="-284"/>
        <w:jc w:val="both"/>
        <w:outlineLvl w:val="0"/>
        <w:rPr>
          <w:rFonts w:ascii="Arial" w:hAnsi="Arial" w:cs="Arial"/>
        </w:rPr>
      </w:pPr>
      <w:r w:rsidRPr="0019540B">
        <w:rPr>
          <w:rFonts w:ascii="Arial" w:hAnsi="Arial" w:cs="Arial"/>
        </w:rPr>
        <w:t xml:space="preserve">Fuente: </w:t>
      </w:r>
      <w:proofErr w:type="spellStart"/>
      <w:r w:rsidRPr="0019540B">
        <w:rPr>
          <w:rFonts w:ascii="Arial" w:hAnsi="Arial" w:cs="Arial"/>
        </w:rPr>
        <w:t>UACh</w:t>
      </w:r>
      <w:proofErr w:type="spellEnd"/>
      <w:r w:rsidRPr="0019540B">
        <w:rPr>
          <w:rFonts w:ascii="Arial" w:hAnsi="Arial" w:cs="Arial"/>
        </w:rPr>
        <w:t xml:space="preserve"> (20</w:t>
      </w:r>
      <w:r w:rsidR="00FC2CC5" w:rsidRPr="0019540B">
        <w:rPr>
          <w:rFonts w:ascii="Arial" w:hAnsi="Arial" w:cs="Arial"/>
        </w:rPr>
        <w:t>12</w:t>
      </w:r>
      <w:r w:rsidRPr="0019540B">
        <w:rPr>
          <w:rFonts w:ascii="Arial" w:hAnsi="Arial" w:cs="Arial"/>
        </w:rPr>
        <w:t>), Base de Datos de los Programas Universitarios de Investigación</w:t>
      </w:r>
    </w:p>
    <w:p w:rsidR="00C447AA" w:rsidRPr="0019540B" w:rsidRDefault="00C447AA" w:rsidP="0019540B">
      <w:pPr>
        <w:spacing w:line="360" w:lineRule="auto"/>
        <w:ind w:right="-284"/>
        <w:jc w:val="both"/>
        <w:outlineLvl w:val="0"/>
        <w:rPr>
          <w:rFonts w:ascii="Arial" w:hAnsi="Arial" w:cs="Arial"/>
        </w:rPr>
      </w:pPr>
    </w:p>
    <w:p w:rsidR="00AC47D4" w:rsidRPr="0019540B" w:rsidRDefault="000635FA" w:rsidP="0019540B">
      <w:pPr>
        <w:spacing w:line="360" w:lineRule="auto"/>
        <w:ind w:right="-284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d) </w:t>
      </w:r>
      <w:r w:rsidR="00B261E5" w:rsidRPr="0019540B">
        <w:rPr>
          <w:rFonts w:ascii="Arial" w:hAnsi="Arial" w:cs="Arial"/>
          <w:b/>
          <w:lang w:eastAsia="en-US"/>
        </w:rPr>
        <w:t xml:space="preserve">La diversificación de fuentes de financiamiento </w:t>
      </w:r>
    </w:p>
    <w:p w:rsidR="009D68C4" w:rsidRDefault="009D68C4" w:rsidP="0019540B">
      <w:pPr>
        <w:spacing w:line="360" w:lineRule="auto"/>
        <w:ind w:right="-284" w:firstLine="561"/>
        <w:jc w:val="both"/>
        <w:rPr>
          <w:rFonts w:ascii="Arial" w:hAnsi="Arial" w:cs="Arial"/>
        </w:rPr>
      </w:pPr>
    </w:p>
    <w:p w:rsidR="004E2726" w:rsidRPr="004E2726" w:rsidRDefault="00F04CEB" w:rsidP="004E2726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 w:rsidRPr="004E2726">
        <w:rPr>
          <w:rFonts w:ascii="Arial" w:hAnsi="Arial" w:cs="Arial"/>
          <w:sz w:val="24"/>
        </w:rPr>
        <w:t xml:space="preserve">La diversificación de las fuentes de financiamiento es otro rasgo distintivo del </w:t>
      </w:r>
      <w:r w:rsidR="001A776A" w:rsidRPr="004E2726">
        <w:rPr>
          <w:rFonts w:ascii="Arial" w:hAnsi="Arial" w:cs="Arial"/>
          <w:sz w:val="24"/>
        </w:rPr>
        <w:t>Modo 2 de producción de conocimiento</w:t>
      </w:r>
      <w:r w:rsidR="001D2154" w:rsidRPr="004E2726">
        <w:rPr>
          <w:rFonts w:ascii="Arial" w:hAnsi="Arial" w:cs="Arial"/>
          <w:sz w:val="24"/>
        </w:rPr>
        <w:t xml:space="preserve"> y no sólo se expresa en la política nacional, sino q</w:t>
      </w:r>
      <w:r w:rsidR="003A4D2C" w:rsidRPr="004E2726">
        <w:rPr>
          <w:rFonts w:ascii="Arial" w:hAnsi="Arial" w:cs="Arial"/>
          <w:sz w:val="24"/>
        </w:rPr>
        <w:t xml:space="preserve">ue tiene relación con las políticas de los </w:t>
      </w:r>
      <w:r w:rsidR="00503872" w:rsidRPr="004E2726">
        <w:rPr>
          <w:rFonts w:ascii="Arial" w:hAnsi="Arial" w:cs="Arial"/>
          <w:sz w:val="24"/>
        </w:rPr>
        <w:t xml:space="preserve">organismos internacionales como el Banco Mundial (BM), </w:t>
      </w:r>
      <w:r w:rsidR="001953B0" w:rsidRPr="004E2726">
        <w:rPr>
          <w:rFonts w:ascii="Arial" w:hAnsi="Arial" w:cs="Arial"/>
          <w:sz w:val="24"/>
        </w:rPr>
        <w:t>e</w:t>
      </w:r>
      <w:r w:rsidR="00503872" w:rsidRPr="004E2726">
        <w:rPr>
          <w:rFonts w:ascii="Arial" w:hAnsi="Arial" w:cs="Arial"/>
          <w:sz w:val="24"/>
        </w:rPr>
        <w:t>l Banco Interamericano de Desarrollo (BID), la Organización para la Cooperación y el Desarrollo Económico (OCDE)</w:t>
      </w:r>
      <w:r w:rsidR="001953B0" w:rsidRPr="004E2726">
        <w:rPr>
          <w:rFonts w:ascii="Arial" w:hAnsi="Arial" w:cs="Arial"/>
          <w:sz w:val="24"/>
        </w:rPr>
        <w:t xml:space="preserve"> como una forma de buscar recursos alternos a la universidades, lo cual representa </w:t>
      </w:r>
      <w:r w:rsidR="00880117" w:rsidRPr="004E2726">
        <w:rPr>
          <w:rFonts w:ascii="Arial" w:hAnsi="Arial" w:cs="Arial"/>
          <w:sz w:val="24"/>
        </w:rPr>
        <w:t>una e</w:t>
      </w:r>
      <w:r w:rsidR="00DC2E5F" w:rsidRPr="004E2726">
        <w:rPr>
          <w:rFonts w:ascii="Arial" w:hAnsi="Arial" w:cs="Arial"/>
          <w:sz w:val="24"/>
        </w:rPr>
        <w:t>strategia de privatización (Maldonado, 2000)</w:t>
      </w:r>
      <w:r w:rsidR="001A6D7F" w:rsidRPr="004E2726">
        <w:rPr>
          <w:rFonts w:ascii="Arial" w:hAnsi="Arial" w:cs="Arial"/>
          <w:sz w:val="24"/>
        </w:rPr>
        <w:t xml:space="preserve">. </w:t>
      </w:r>
      <w:r w:rsidR="00EF1CB0">
        <w:rPr>
          <w:rFonts w:ascii="Arial" w:hAnsi="Arial" w:cs="Arial"/>
          <w:sz w:val="24"/>
        </w:rPr>
        <w:t xml:space="preserve">Estos organismos que han tenido injerencia en la política de ciencia y tecnología, de producción del conocimiento y financiamiento para el IES están asociadas con el </w:t>
      </w:r>
      <w:r w:rsidR="004E2726" w:rsidRPr="00EF1CB0">
        <w:rPr>
          <w:rFonts w:ascii="Arial" w:hAnsi="Arial" w:cs="Arial"/>
          <w:sz w:val="24"/>
        </w:rPr>
        <w:t>paradigma neoliberal</w:t>
      </w:r>
      <w:r w:rsidR="00EF1CB0" w:rsidRPr="00EF1CB0">
        <w:rPr>
          <w:rFonts w:ascii="Arial" w:hAnsi="Arial" w:cs="Arial"/>
          <w:sz w:val="24"/>
        </w:rPr>
        <w:t xml:space="preserve"> y su influencia </w:t>
      </w:r>
      <w:r w:rsidR="004E2726" w:rsidRPr="00EF1CB0">
        <w:rPr>
          <w:rFonts w:ascii="Arial" w:hAnsi="Arial" w:cs="Arial"/>
          <w:sz w:val="24"/>
        </w:rPr>
        <w:t>no proviene de la precisión teórica, metodológica o científica de sus ideas, sino del poder económico que ejercen para imponer o sugerir con gran dureza las políticas para los gobiernos de América Latina; por eso el  Banco Mundial se convierte en al Caballo de Troya del ajuste estructural y de la redefinición del Estado en las políticas sociales (</w:t>
      </w:r>
      <w:proofErr w:type="spellStart"/>
      <w:r w:rsidR="004E2726" w:rsidRPr="00EF1CB0">
        <w:rPr>
          <w:rFonts w:ascii="Arial" w:hAnsi="Arial" w:cs="Arial"/>
          <w:sz w:val="24"/>
        </w:rPr>
        <w:t>Coraggio</w:t>
      </w:r>
      <w:proofErr w:type="spellEnd"/>
      <w:r w:rsidR="004E2726" w:rsidRPr="00EF1CB0">
        <w:rPr>
          <w:rFonts w:ascii="Arial" w:hAnsi="Arial" w:cs="Arial"/>
          <w:sz w:val="24"/>
        </w:rPr>
        <w:t xml:space="preserve">, 1999). La presión que ejercen estos organismos se basa en la deuda externa y la dependencia financiera de los países para adquirir el nivel de competitividad requerido a fin de insertarse en el mercado mundial, por eso existe una marcada tenencia a adoptar y </w:t>
      </w:r>
      <w:r w:rsidR="004E2726" w:rsidRPr="00EF1CB0">
        <w:rPr>
          <w:rFonts w:ascii="Arial" w:hAnsi="Arial" w:cs="Arial"/>
          <w:sz w:val="24"/>
        </w:rPr>
        <w:lastRenderedPageBreak/>
        <w:t>adaptarse a las políticas de estos organismos resultados de actos coercitivos más que volitivos.</w:t>
      </w:r>
    </w:p>
    <w:p w:rsidR="001A6D7F" w:rsidRPr="0019540B" w:rsidRDefault="001A6D7F" w:rsidP="0019540B">
      <w:pPr>
        <w:spacing w:line="360" w:lineRule="auto"/>
        <w:ind w:right="-284"/>
        <w:jc w:val="both"/>
        <w:rPr>
          <w:rFonts w:ascii="Arial" w:hAnsi="Arial" w:cs="Arial"/>
        </w:rPr>
      </w:pPr>
    </w:p>
    <w:p w:rsidR="00EE4CEF" w:rsidRDefault="004D6D41" w:rsidP="007408CF">
      <w:pPr>
        <w:spacing w:after="200"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Institucionalmente </w:t>
      </w:r>
      <w:r w:rsidR="00432141">
        <w:rPr>
          <w:rFonts w:ascii="Arial" w:hAnsi="Arial" w:cs="Arial"/>
        </w:rPr>
        <w:t>e</w:t>
      </w:r>
      <w:r w:rsidR="00432141" w:rsidRPr="0019540B">
        <w:rPr>
          <w:rFonts w:ascii="Arial" w:hAnsi="Arial" w:cs="Arial"/>
        </w:rPr>
        <w:t>xisten dos tipos de fondos: los mixtos y los sectoriales, los fondos sectoriales son de SAGARPA, de la Comisión Nacional Forestal (CONAFOR) y de las Fundaciones Produce, mientras que los fondos mixtos son una mezcla del Gobierno del Estado con el CONACYT o con alguna dependencia federal</w:t>
      </w:r>
      <w:r w:rsidR="000635FA">
        <w:rPr>
          <w:rFonts w:ascii="Arial" w:hAnsi="Arial" w:cs="Arial"/>
        </w:rPr>
        <w:t xml:space="preserve">. La </w:t>
      </w:r>
      <w:r w:rsidR="00171D54" w:rsidRPr="0019540B">
        <w:rPr>
          <w:rFonts w:ascii="Arial" w:hAnsi="Arial" w:cs="Arial"/>
        </w:rPr>
        <w:t xml:space="preserve">fuente principal de recursos </w:t>
      </w:r>
      <w:r w:rsidR="007D039B" w:rsidRPr="0019540B">
        <w:rPr>
          <w:rFonts w:ascii="Arial" w:hAnsi="Arial" w:cs="Arial"/>
        </w:rPr>
        <w:t xml:space="preserve">proviene del gobierno a través de </w:t>
      </w:r>
      <w:r w:rsidR="00155DC9" w:rsidRPr="0019540B">
        <w:rPr>
          <w:rFonts w:ascii="Arial" w:hAnsi="Arial" w:cs="Arial"/>
        </w:rPr>
        <w:t xml:space="preserve">las secretarías de Estado como </w:t>
      </w:r>
      <w:r w:rsidR="00445659" w:rsidRPr="0019540B">
        <w:rPr>
          <w:rFonts w:ascii="Arial" w:hAnsi="Arial" w:cs="Arial"/>
        </w:rPr>
        <w:t>Secretaría de Agricultura, Ganadería, Desarrollo Rural, Pesca y Alimentación (</w:t>
      </w:r>
      <w:r w:rsidR="007D039B" w:rsidRPr="0019540B">
        <w:rPr>
          <w:rFonts w:ascii="Arial" w:hAnsi="Arial" w:cs="Arial"/>
        </w:rPr>
        <w:t>SAGARPA</w:t>
      </w:r>
      <w:r w:rsidR="00445659" w:rsidRPr="0019540B">
        <w:rPr>
          <w:rFonts w:ascii="Arial" w:hAnsi="Arial" w:cs="Arial"/>
        </w:rPr>
        <w:t>)</w:t>
      </w:r>
      <w:r w:rsidR="007D039B" w:rsidRPr="0019540B">
        <w:rPr>
          <w:rFonts w:ascii="Arial" w:hAnsi="Arial" w:cs="Arial"/>
        </w:rPr>
        <w:t xml:space="preserve">, </w:t>
      </w:r>
      <w:r w:rsidR="007F1781" w:rsidRPr="0019540B">
        <w:rPr>
          <w:rFonts w:ascii="Arial" w:hAnsi="Arial" w:cs="Arial"/>
        </w:rPr>
        <w:t xml:space="preserve">la </w:t>
      </w:r>
      <w:r w:rsidR="007D039B" w:rsidRPr="0019540B">
        <w:rPr>
          <w:rFonts w:ascii="Arial" w:hAnsi="Arial" w:cs="Arial"/>
        </w:rPr>
        <w:t xml:space="preserve">Comisión Nacional Forestal (CONAFOR), </w:t>
      </w:r>
      <w:r w:rsidR="007F1781" w:rsidRPr="0019540B">
        <w:rPr>
          <w:rFonts w:ascii="Arial" w:hAnsi="Arial" w:cs="Arial"/>
        </w:rPr>
        <w:t xml:space="preserve">la </w:t>
      </w:r>
      <w:r w:rsidR="007D039B" w:rsidRPr="0019540B">
        <w:rPr>
          <w:rFonts w:ascii="Arial" w:hAnsi="Arial" w:cs="Arial"/>
        </w:rPr>
        <w:t>Coordinadora Nacional de Fundaciones Produce (COFUPRO)</w:t>
      </w:r>
      <w:r w:rsidR="00091F74" w:rsidRPr="0019540B">
        <w:rPr>
          <w:rFonts w:ascii="Arial" w:hAnsi="Arial" w:cs="Arial"/>
        </w:rPr>
        <w:t xml:space="preserve">, el </w:t>
      </w:r>
      <w:r w:rsidR="007F1781" w:rsidRPr="0019540B">
        <w:rPr>
          <w:rFonts w:ascii="Arial" w:hAnsi="Arial" w:cs="Arial"/>
        </w:rPr>
        <w:t>Consejo Nacional de Ciencia y Tecnología (</w:t>
      </w:r>
      <w:r w:rsidR="00091F74" w:rsidRPr="0019540B">
        <w:rPr>
          <w:rFonts w:ascii="Arial" w:hAnsi="Arial" w:cs="Arial"/>
        </w:rPr>
        <w:t>C</w:t>
      </w:r>
      <w:r w:rsidR="00C5579E">
        <w:rPr>
          <w:rFonts w:ascii="Arial" w:hAnsi="Arial" w:cs="Arial"/>
        </w:rPr>
        <w:t>ONACYT</w:t>
      </w:r>
      <w:r w:rsidR="007F1781" w:rsidRPr="0019540B">
        <w:rPr>
          <w:rFonts w:ascii="Arial" w:hAnsi="Arial" w:cs="Arial"/>
        </w:rPr>
        <w:t>)</w:t>
      </w:r>
      <w:r w:rsidR="00091F74" w:rsidRPr="0019540B">
        <w:rPr>
          <w:rFonts w:ascii="Arial" w:hAnsi="Arial" w:cs="Arial"/>
        </w:rPr>
        <w:t xml:space="preserve"> </w:t>
      </w:r>
      <w:r w:rsidR="007F1781" w:rsidRPr="0019540B">
        <w:rPr>
          <w:rFonts w:ascii="Arial" w:hAnsi="Arial" w:cs="Arial"/>
        </w:rPr>
        <w:t>recursos que se obtienen a través de p</w:t>
      </w:r>
      <w:r w:rsidR="00091F74" w:rsidRPr="0019540B">
        <w:rPr>
          <w:rFonts w:ascii="Arial" w:hAnsi="Arial" w:cs="Arial"/>
        </w:rPr>
        <w:t xml:space="preserve">royectos </w:t>
      </w:r>
      <w:r w:rsidR="007D039B" w:rsidRPr="0019540B">
        <w:rPr>
          <w:rFonts w:ascii="Arial" w:hAnsi="Arial" w:cs="Arial"/>
        </w:rPr>
        <w:t xml:space="preserve"> </w:t>
      </w:r>
      <w:r w:rsidR="00171D54" w:rsidRPr="0019540B">
        <w:rPr>
          <w:rFonts w:ascii="Arial" w:hAnsi="Arial" w:cs="Arial"/>
        </w:rPr>
        <w:t xml:space="preserve">externos </w:t>
      </w:r>
      <w:r w:rsidR="007F1781" w:rsidRPr="0019540B">
        <w:rPr>
          <w:rFonts w:ascii="Arial" w:hAnsi="Arial" w:cs="Arial"/>
        </w:rPr>
        <w:t xml:space="preserve">para financiar </w:t>
      </w:r>
      <w:r w:rsidR="00171D54" w:rsidRPr="0019540B">
        <w:rPr>
          <w:rFonts w:ascii="Arial" w:hAnsi="Arial" w:cs="Arial"/>
        </w:rPr>
        <w:t>las actividades de investigación</w:t>
      </w:r>
      <w:r w:rsidR="00091F74" w:rsidRPr="0019540B">
        <w:rPr>
          <w:rFonts w:ascii="Arial" w:hAnsi="Arial" w:cs="Arial"/>
        </w:rPr>
        <w:t xml:space="preserve"> </w:t>
      </w:r>
      <w:r w:rsidR="00171D54" w:rsidRPr="0019540B">
        <w:rPr>
          <w:rFonts w:ascii="Arial" w:hAnsi="Arial" w:cs="Arial"/>
        </w:rPr>
        <w:t>(E12</w:t>
      </w:r>
      <w:r w:rsidR="00B61971">
        <w:rPr>
          <w:rStyle w:val="Refdenotaalpie"/>
          <w:rFonts w:cs="Arial"/>
        </w:rPr>
        <w:footnoteReference w:id="2"/>
      </w:r>
      <w:r w:rsidR="00171D54" w:rsidRPr="0019540B">
        <w:rPr>
          <w:rFonts w:ascii="Arial" w:hAnsi="Arial" w:cs="Arial"/>
        </w:rPr>
        <w:t xml:space="preserve">). </w:t>
      </w:r>
      <w:r w:rsidR="00091F74" w:rsidRPr="0019540B">
        <w:rPr>
          <w:rFonts w:ascii="Arial" w:hAnsi="Arial" w:cs="Arial"/>
        </w:rPr>
        <w:t>La s</w:t>
      </w:r>
      <w:r w:rsidR="00BE3CBC" w:rsidRPr="0019540B">
        <w:rPr>
          <w:rFonts w:ascii="Arial" w:hAnsi="Arial" w:cs="Arial"/>
        </w:rPr>
        <w:t xml:space="preserve">egunda fuente de financiamiento proviene de los recursos de la </w:t>
      </w:r>
      <w:r w:rsidR="00091F74" w:rsidRPr="0019540B">
        <w:rPr>
          <w:rFonts w:ascii="Arial" w:hAnsi="Arial" w:cs="Arial"/>
        </w:rPr>
        <w:t>universidad</w:t>
      </w:r>
      <w:r w:rsidR="00F30812">
        <w:rPr>
          <w:rFonts w:ascii="Arial" w:hAnsi="Arial" w:cs="Arial"/>
        </w:rPr>
        <w:t xml:space="preserve"> </w:t>
      </w:r>
      <w:r w:rsidR="00091F74" w:rsidRPr="0019540B">
        <w:rPr>
          <w:rFonts w:ascii="Arial" w:hAnsi="Arial" w:cs="Arial"/>
        </w:rPr>
        <w:t xml:space="preserve">para el desarrollo de la investigación, </w:t>
      </w:r>
      <w:r w:rsidR="00BE3CBC" w:rsidRPr="0019540B">
        <w:rPr>
          <w:rFonts w:ascii="Arial" w:hAnsi="Arial" w:cs="Arial"/>
        </w:rPr>
        <w:t>pero también se han buscado alternativas con el C</w:t>
      </w:r>
      <w:r w:rsidR="00875F87">
        <w:rPr>
          <w:rFonts w:ascii="Arial" w:hAnsi="Arial" w:cs="Arial"/>
        </w:rPr>
        <w:t xml:space="preserve">ONACYT </w:t>
      </w:r>
      <w:r w:rsidR="00BE3CBC" w:rsidRPr="0019540B">
        <w:rPr>
          <w:rFonts w:ascii="Arial" w:hAnsi="Arial" w:cs="Arial"/>
        </w:rPr>
        <w:t xml:space="preserve">y con </w:t>
      </w:r>
      <w:r w:rsidR="00091F74" w:rsidRPr="0019540B">
        <w:rPr>
          <w:rFonts w:ascii="Arial" w:hAnsi="Arial" w:cs="Arial"/>
        </w:rPr>
        <w:t>los gobiernos de los estados (E15)</w:t>
      </w:r>
      <w:r w:rsidR="00EE4CEF">
        <w:rPr>
          <w:rFonts w:ascii="Arial" w:hAnsi="Arial" w:cs="Arial"/>
        </w:rPr>
        <w:t>, y la tercera fuente de ingreso en un porcentaje muy bajo es con el sector privado</w:t>
      </w:r>
      <w:r w:rsidR="00091F74" w:rsidRPr="0019540B">
        <w:rPr>
          <w:rFonts w:ascii="Arial" w:hAnsi="Arial" w:cs="Arial"/>
        </w:rPr>
        <w:t>.</w:t>
      </w:r>
      <w:r w:rsidR="00BE3CBC" w:rsidRPr="0019540B">
        <w:rPr>
          <w:rFonts w:ascii="Arial" w:hAnsi="Arial" w:cs="Arial"/>
        </w:rPr>
        <w:t xml:space="preserve"> </w:t>
      </w:r>
    </w:p>
    <w:p w:rsidR="006140FB" w:rsidRDefault="006140FB" w:rsidP="00F76027">
      <w:pPr>
        <w:spacing w:after="200"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UACh</w:t>
      </w:r>
      <w:proofErr w:type="spellEnd"/>
      <w:r>
        <w:rPr>
          <w:rFonts w:ascii="Arial" w:hAnsi="Arial" w:cs="Arial"/>
        </w:rPr>
        <w:t xml:space="preserve"> ha establecido fuerte vínculos con varias dependencias </w:t>
      </w:r>
      <w:r w:rsidR="002C2157">
        <w:rPr>
          <w:rFonts w:ascii="Arial" w:hAnsi="Arial" w:cs="Arial"/>
        </w:rPr>
        <w:t xml:space="preserve">como el CONACYT, las Fundaciones, </w:t>
      </w:r>
      <w:r w:rsidR="00F6427D">
        <w:rPr>
          <w:rFonts w:ascii="Arial" w:hAnsi="Arial" w:cs="Arial"/>
        </w:rPr>
        <w:t xml:space="preserve">SGARPA, </w:t>
      </w:r>
      <w:proofErr w:type="spellStart"/>
      <w:r w:rsidR="00F6427D">
        <w:rPr>
          <w:rFonts w:ascii="Arial" w:hAnsi="Arial" w:cs="Arial"/>
        </w:rPr>
        <w:t>Sedesol</w:t>
      </w:r>
      <w:proofErr w:type="spellEnd"/>
      <w:r w:rsidR="00F6427D">
        <w:rPr>
          <w:rFonts w:ascii="Arial" w:hAnsi="Arial" w:cs="Arial"/>
        </w:rPr>
        <w:t xml:space="preserve">, CONAFOR, organismos internacionales como el Banco Mundial, </w:t>
      </w:r>
      <w:r w:rsidR="00C05C84">
        <w:rPr>
          <w:rFonts w:ascii="Arial" w:hAnsi="Arial" w:cs="Arial"/>
        </w:rPr>
        <w:t>la Organización para la Alimentación y la Agricultura (FAO)</w:t>
      </w:r>
      <w:r w:rsidR="00F6427D">
        <w:rPr>
          <w:rFonts w:ascii="Arial" w:hAnsi="Arial" w:cs="Arial"/>
        </w:rPr>
        <w:t xml:space="preserve">, la Unión Europea, la </w:t>
      </w:r>
      <w:r w:rsidR="00D27D59">
        <w:rPr>
          <w:rFonts w:ascii="Arial" w:hAnsi="Arial" w:cs="Arial"/>
        </w:rPr>
        <w:t xml:space="preserve">Organización de las </w:t>
      </w:r>
      <w:r w:rsidR="00F6427D">
        <w:rPr>
          <w:rFonts w:ascii="Arial" w:hAnsi="Arial" w:cs="Arial"/>
        </w:rPr>
        <w:t>N</w:t>
      </w:r>
      <w:r w:rsidR="00D27D59">
        <w:rPr>
          <w:rFonts w:ascii="Arial" w:hAnsi="Arial" w:cs="Arial"/>
        </w:rPr>
        <w:t xml:space="preserve">aciones </w:t>
      </w:r>
      <w:r w:rsidR="00F6427D">
        <w:rPr>
          <w:rFonts w:ascii="Arial" w:hAnsi="Arial" w:cs="Arial"/>
        </w:rPr>
        <w:t>U</w:t>
      </w:r>
      <w:r w:rsidR="00D27D59">
        <w:rPr>
          <w:rFonts w:ascii="Arial" w:hAnsi="Arial" w:cs="Arial"/>
        </w:rPr>
        <w:t>nidas (ONU)</w:t>
      </w:r>
      <w:r w:rsidR="00F6427D">
        <w:rPr>
          <w:rFonts w:ascii="Arial" w:hAnsi="Arial" w:cs="Arial"/>
        </w:rPr>
        <w:t>, el B</w:t>
      </w:r>
      <w:r w:rsidR="00D27D59">
        <w:rPr>
          <w:rFonts w:ascii="Arial" w:hAnsi="Arial" w:cs="Arial"/>
        </w:rPr>
        <w:t xml:space="preserve">anco </w:t>
      </w:r>
      <w:r w:rsidR="00F6427D">
        <w:rPr>
          <w:rFonts w:ascii="Arial" w:hAnsi="Arial" w:cs="Arial"/>
        </w:rPr>
        <w:t>I</w:t>
      </w:r>
      <w:r w:rsidR="00D27D59">
        <w:rPr>
          <w:rFonts w:ascii="Arial" w:hAnsi="Arial" w:cs="Arial"/>
        </w:rPr>
        <w:t xml:space="preserve">nteramericano de </w:t>
      </w:r>
      <w:r w:rsidR="00F6427D">
        <w:rPr>
          <w:rFonts w:ascii="Arial" w:hAnsi="Arial" w:cs="Arial"/>
        </w:rPr>
        <w:t>D</w:t>
      </w:r>
      <w:r w:rsidR="00D27D59">
        <w:rPr>
          <w:rFonts w:ascii="Arial" w:hAnsi="Arial" w:cs="Arial"/>
        </w:rPr>
        <w:t>esarrollo (BID)</w:t>
      </w:r>
      <w:r w:rsidR="00F6427D">
        <w:rPr>
          <w:rFonts w:ascii="Arial" w:hAnsi="Arial" w:cs="Arial"/>
        </w:rPr>
        <w:t xml:space="preserve">. </w:t>
      </w:r>
    </w:p>
    <w:p w:rsidR="00AC47D4" w:rsidRPr="0019540B" w:rsidRDefault="003A1BF9" w:rsidP="0019540B">
      <w:pPr>
        <w:spacing w:line="360" w:lineRule="auto"/>
        <w:ind w:right="-284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e) </w:t>
      </w:r>
      <w:r w:rsidR="00AC47D4" w:rsidRPr="0019540B">
        <w:rPr>
          <w:rFonts w:ascii="Arial" w:hAnsi="Arial" w:cs="Arial"/>
          <w:b/>
          <w:lang w:eastAsia="en-US"/>
        </w:rPr>
        <w:t>Sobre los procesos de evaluación</w:t>
      </w:r>
    </w:p>
    <w:p w:rsidR="00FE2693" w:rsidRPr="0019540B" w:rsidRDefault="00FE2693" w:rsidP="0019540B">
      <w:pPr>
        <w:spacing w:line="360" w:lineRule="auto"/>
        <w:ind w:right="-284"/>
        <w:jc w:val="both"/>
        <w:rPr>
          <w:rFonts w:ascii="Arial" w:hAnsi="Arial" w:cs="Arial"/>
          <w:lang w:eastAsia="en-US"/>
        </w:rPr>
      </w:pPr>
    </w:p>
    <w:p w:rsidR="00176C89" w:rsidRPr="0019540B" w:rsidRDefault="000C2C3F" w:rsidP="00983BAC">
      <w:pPr>
        <w:spacing w:line="360" w:lineRule="auto"/>
        <w:ind w:right="-284"/>
        <w:jc w:val="both"/>
        <w:rPr>
          <w:rFonts w:ascii="Arial" w:hAnsi="Arial" w:cs="Arial"/>
        </w:rPr>
      </w:pPr>
      <w:r w:rsidRPr="0019540B">
        <w:rPr>
          <w:rFonts w:ascii="Arial" w:hAnsi="Arial" w:cs="Arial"/>
          <w:lang w:eastAsia="en-US"/>
        </w:rPr>
        <w:t xml:space="preserve">La evaluación de la investigación en la </w:t>
      </w:r>
      <w:proofErr w:type="spellStart"/>
      <w:r w:rsidRPr="0019540B">
        <w:rPr>
          <w:rFonts w:ascii="Arial" w:hAnsi="Arial" w:cs="Arial"/>
          <w:lang w:eastAsia="en-US"/>
        </w:rPr>
        <w:t>UACh</w:t>
      </w:r>
      <w:proofErr w:type="spellEnd"/>
      <w:r w:rsidRPr="0019540B">
        <w:rPr>
          <w:rFonts w:ascii="Arial" w:hAnsi="Arial" w:cs="Arial"/>
          <w:lang w:eastAsia="en-US"/>
        </w:rPr>
        <w:t xml:space="preserve"> se puede </w:t>
      </w:r>
      <w:r w:rsidR="003A4D55" w:rsidRPr="0019540B">
        <w:rPr>
          <w:rFonts w:ascii="Arial" w:hAnsi="Arial" w:cs="Arial"/>
          <w:lang w:eastAsia="en-US"/>
        </w:rPr>
        <w:t>observar</w:t>
      </w:r>
      <w:r w:rsidRPr="0019540B">
        <w:rPr>
          <w:rFonts w:ascii="Arial" w:hAnsi="Arial" w:cs="Arial"/>
          <w:lang w:eastAsia="en-US"/>
        </w:rPr>
        <w:t xml:space="preserve"> desde el punto de vista interno y externo. La evaluación que predomina es principalmente a través de los criterios y procedimientos que establece la institución por medio de la DGIP</w:t>
      </w:r>
      <w:r w:rsidR="00216889">
        <w:rPr>
          <w:rFonts w:ascii="Arial" w:hAnsi="Arial" w:cs="Arial"/>
          <w:lang w:eastAsia="en-US"/>
        </w:rPr>
        <w:t xml:space="preserve"> y ha atravesado </w:t>
      </w:r>
      <w:r w:rsidR="00AB33E1" w:rsidRPr="0019540B">
        <w:rPr>
          <w:rFonts w:ascii="Arial" w:hAnsi="Arial" w:cs="Arial"/>
          <w:lang w:eastAsia="en-US"/>
        </w:rPr>
        <w:t>por un proceso de fortalecimiento y definición de criterios y procedimientos</w:t>
      </w:r>
      <w:r w:rsidR="00216889">
        <w:rPr>
          <w:rFonts w:ascii="Arial" w:hAnsi="Arial" w:cs="Arial"/>
          <w:lang w:eastAsia="en-US"/>
        </w:rPr>
        <w:t xml:space="preserve">. Anteriormente el proceso era sencillo porque se emitía una calificación, pero en realidad no se realizaba ninguna evaluación y la calificación se centraba </w:t>
      </w:r>
      <w:r w:rsidR="00AB33E1" w:rsidRPr="0019540B">
        <w:rPr>
          <w:rFonts w:ascii="Arial" w:hAnsi="Arial" w:cs="Arial"/>
        </w:rPr>
        <w:t>más en los productos y no en los procesos</w:t>
      </w:r>
      <w:r w:rsidR="00FE2693" w:rsidRPr="0019540B">
        <w:rPr>
          <w:rFonts w:ascii="Arial" w:hAnsi="Arial" w:cs="Arial"/>
        </w:rPr>
        <w:t xml:space="preserve"> (</w:t>
      </w:r>
      <w:r w:rsidR="00AB33E1" w:rsidRPr="0019540B">
        <w:rPr>
          <w:rFonts w:ascii="Arial" w:hAnsi="Arial" w:cs="Arial"/>
          <w:lang w:eastAsia="en-US"/>
        </w:rPr>
        <w:t>E3</w:t>
      </w:r>
      <w:r w:rsidR="00FE2693" w:rsidRPr="0019540B">
        <w:rPr>
          <w:rFonts w:ascii="Arial" w:hAnsi="Arial" w:cs="Arial"/>
          <w:lang w:eastAsia="en-US"/>
        </w:rPr>
        <w:t>)</w:t>
      </w:r>
      <w:r w:rsidR="00176C89" w:rsidRPr="0019540B">
        <w:rPr>
          <w:rFonts w:ascii="Arial" w:hAnsi="Arial" w:cs="Arial"/>
          <w:lang w:eastAsia="en-US"/>
        </w:rPr>
        <w:t xml:space="preserve">. </w:t>
      </w:r>
      <w:r w:rsidR="00176C89" w:rsidRPr="0019540B">
        <w:rPr>
          <w:rFonts w:ascii="Arial" w:hAnsi="Arial" w:cs="Arial"/>
        </w:rPr>
        <w:t xml:space="preserve">En Chapingo no existe cultura de evaluación, no </w:t>
      </w:r>
      <w:r w:rsidR="00176C89" w:rsidRPr="0019540B">
        <w:rPr>
          <w:rFonts w:ascii="Arial" w:hAnsi="Arial" w:cs="Arial"/>
        </w:rPr>
        <w:lastRenderedPageBreak/>
        <w:t>existe cultura de seguimiento, de reingeniería, o sea de control</w:t>
      </w:r>
      <w:r w:rsidR="00130F34">
        <w:rPr>
          <w:rFonts w:ascii="Arial" w:hAnsi="Arial" w:cs="Arial"/>
        </w:rPr>
        <w:t>. El Consejo Universitario debería realizar esta actividad para conocer en que se ha invertido el presupuesto asignado, los productos que se entregan, pero d</w:t>
      </w:r>
      <w:r w:rsidR="00176C89" w:rsidRPr="0019540B">
        <w:rPr>
          <w:rFonts w:ascii="Arial" w:hAnsi="Arial" w:cs="Arial"/>
        </w:rPr>
        <w:t>esafortunadamente</w:t>
      </w:r>
      <w:r w:rsidR="00130F34">
        <w:rPr>
          <w:rFonts w:ascii="Arial" w:hAnsi="Arial" w:cs="Arial"/>
        </w:rPr>
        <w:t xml:space="preserve"> en ese aspecto estamos atrasados </w:t>
      </w:r>
      <w:r w:rsidR="00176C89" w:rsidRPr="0019540B">
        <w:rPr>
          <w:rFonts w:ascii="Arial" w:hAnsi="Arial" w:cs="Arial"/>
        </w:rPr>
        <w:t>(E4).</w:t>
      </w:r>
    </w:p>
    <w:p w:rsidR="0083296C" w:rsidRDefault="0083296C" w:rsidP="0019540B">
      <w:pPr>
        <w:spacing w:line="360" w:lineRule="auto"/>
        <w:ind w:right="-284"/>
        <w:jc w:val="both"/>
        <w:rPr>
          <w:rFonts w:ascii="Arial" w:hAnsi="Arial" w:cs="Arial"/>
          <w:b/>
          <w:lang w:eastAsia="en-US"/>
        </w:rPr>
      </w:pPr>
    </w:p>
    <w:p w:rsidR="00955AC1" w:rsidRPr="0019540B" w:rsidRDefault="00A32A70" w:rsidP="00EF6564">
      <w:p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La DGIP </w:t>
      </w:r>
      <w:r w:rsidR="003A4D55" w:rsidRPr="0019540B">
        <w:rPr>
          <w:rFonts w:ascii="Arial" w:hAnsi="Arial" w:cs="Arial"/>
          <w:lang w:eastAsia="en-US"/>
        </w:rPr>
        <w:t xml:space="preserve">establece criterios de evaluación inicial </w:t>
      </w:r>
      <w:r>
        <w:rPr>
          <w:rFonts w:ascii="Arial" w:hAnsi="Arial" w:cs="Arial"/>
          <w:lang w:eastAsia="en-US"/>
        </w:rPr>
        <w:t xml:space="preserve">a través de la </w:t>
      </w:r>
      <w:r w:rsidR="003A4D55" w:rsidRPr="0019540B">
        <w:rPr>
          <w:rFonts w:ascii="Arial" w:hAnsi="Arial" w:cs="Arial"/>
          <w:lang w:eastAsia="en-US"/>
        </w:rPr>
        <w:t>solicitud de los proyectos de investigación; después se lleva a cabo una evaluación anual de cada proyecto y se hace seguimiento de los avances, resultados y productividad</w:t>
      </w:r>
      <w:r w:rsidR="00EF6564">
        <w:rPr>
          <w:rFonts w:ascii="Arial" w:hAnsi="Arial" w:cs="Arial"/>
          <w:lang w:eastAsia="en-US"/>
        </w:rPr>
        <w:t xml:space="preserve">. Administrativamente se ha avanzado porque existe un grupo de </w:t>
      </w:r>
      <w:r w:rsidR="00D22784" w:rsidRPr="0019540B">
        <w:rPr>
          <w:rFonts w:ascii="Arial" w:hAnsi="Arial" w:cs="Arial"/>
        </w:rPr>
        <w:t>personas en la DGIP que lleva</w:t>
      </w:r>
      <w:r w:rsidR="00EF6564">
        <w:rPr>
          <w:rFonts w:ascii="Arial" w:hAnsi="Arial" w:cs="Arial"/>
        </w:rPr>
        <w:t>n</w:t>
      </w:r>
      <w:r w:rsidR="00D22784" w:rsidRPr="0019540B">
        <w:rPr>
          <w:rFonts w:ascii="Arial" w:hAnsi="Arial" w:cs="Arial"/>
        </w:rPr>
        <w:t xml:space="preserve"> los expedientes, </w:t>
      </w:r>
      <w:r w:rsidR="00EF6564">
        <w:rPr>
          <w:rFonts w:ascii="Arial" w:hAnsi="Arial" w:cs="Arial"/>
        </w:rPr>
        <w:t xml:space="preserve">lo </w:t>
      </w:r>
      <w:r w:rsidR="00D22784" w:rsidRPr="0019540B">
        <w:rPr>
          <w:rFonts w:ascii="Arial" w:hAnsi="Arial" w:cs="Arial"/>
        </w:rPr>
        <w:t>controles por programa</w:t>
      </w:r>
      <w:r w:rsidR="00EF6564">
        <w:rPr>
          <w:rFonts w:ascii="Arial" w:hAnsi="Arial" w:cs="Arial"/>
        </w:rPr>
        <w:t>, por Centro de Investigación y/o Instituto y a través de la</w:t>
      </w:r>
      <w:r w:rsidR="00D22784" w:rsidRPr="0019540B">
        <w:rPr>
          <w:rFonts w:ascii="Arial" w:hAnsi="Arial" w:cs="Arial"/>
        </w:rPr>
        <w:t xml:space="preserve"> Comisión de Subdirectores de Investigación (COSI) y de los coordinadores de los programas en su momento, se han enriquecido los mecanismos de evaluación</w:t>
      </w:r>
      <w:r w:rsidR="00EF6564">
        <w:rPr>
          <w:rFonts w:ascii="Arial" w:hAnsi="Arial" w:cs="Arial"/>
        </w:rPr>
        <w:t xml:space="preserve">, lo que ha mejorado en la parte de los informes como datos duros </w:t>
      </w:r>
      <w:r w:rsidR="00D22784" w:rsidRPr="0019540B">
        <w:rPr>
          <w:rFonts w:ascii="Arial" w:hAnsi="Arial" w:cs="Arial"/>
        </w:rPr>
        <w:t xml:space="preserve"> </w:t>
      </w:r>
      <w:r w:rsidR="00EF6564">
        <w:rPr>
          <w:rFonts w:ascii="Arial" w:hAnsi="Arial" w:cs="Arial"/>
        </w:rPr>
        <w:t>(E3)</w:t>
      </w:r>
      <w:r w:rsidR="00D22784" w:rsidRPr="0019540B">
        <w:rPr>
          <w:rFonts w:ascii="Arial" w:hAnsi="Arial" w:cs="Arial"/>
        </w:rPr>
        <w:t>.</w:t>
      </w:r>
      <w:r w:rsidR="00EF6564">
        <w:rPr>
          <w:rFonts w:ascii="Arial" w:hAnsi="Arial" w:cs="Arial"/>
        </w:rPr>
        <w:t xml:space="preserve"> Este es un ejercicio que debería conocer la universidad al conocer el destino del recurso para investigación; pero tiene que ver con un principio de evaluación y autocrítica, porque a la universidad se le defiende con trabajo</w:t>
      </w:r>
      <w:r w:rsidR="00FE2693" w:rsidRPr="0019540B">
        <w:rPr>
          <w:rFonts w:ascii="Arial" w:hAnsi="Arial" w:cs="Arial"/>
        </w:rPr>
        <w:t xml:space="preserve"> (E1).</w:t>
      </w:r>
    </w:p>
    <w:p w:rsidR="009C4F03" w:rsidRDefault="009C4F03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</w:p>
    <w:p w:rsidR="00A62FC9" w:rsidRPr="0052044C" w:rsidRDefault="00A62FC9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  <w:r w:rsidRPr="0052044C">
        <w:rPr>
          <w:rFonts w:ascii="Arial" w:hAnsi="Arial" w:cs="Arial"/>
          <w:b/>
          <w:sz w:val="24"/>
        </w:rPr>
        <w:t xml:space="preserve">Conclusiones </w:t>
      </w:r>
    </w:p>
    <w:p w:rsidR="00A62FC9" w:rsidRDefault="00A62FC9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D6215B" w:rsidRDefault="007F2FA9" w:rsidP="00C20D5F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 base en el objetivo de esta investigación de </w:t>
      </w:r>
      <w:r w:rsidRPr="0019540B">
        <w:rPr>
          <w:rFonts w:ascii="Arial" w:hAnsi="Arial" w:cs="Arial"/>
          <w:sz w:val="24"/>
        </w:rPr>
        <w:t>tener un acercamiento a las formas de producción en la Universidad Autónoma Chapingo</w:t>
      </w:r>
      <w:r>
        <w:rPr>
          <w:rFonts w:ascii="Arial" w:hAnsi="Arial" w:cs="Arial"/>
          <w:sz w:val="24"/>
        </w:rPr>
        <w:t xml:space="preserve"> </w:t>
      </w:r>
      <w:r w:rsidR="009C4F03">
        <w:rPr>
          <w:rFonts w:ascii="Arial" w:hAnsi="Arial" w:cs="Arial"/>
          <w:sz w:val="24"/>
        </w:rPr>
        <w:t xml:space="preserve">se concluye que predomina el Modo 2 de producción de conocimiento pero no es una </w:t>
      </w:r>
      <w:r w:rsidR="00495914">
        <w:rPr>
          <w:rFonts w:ascii="Arial" w:hAnsi="Arial" w:cs="Arial"/>
          <w:sz w:val="24"/>
        </w:rPr>
        <w:t xml:space="preserve">característica de la </w:t>
      </w:r>
      <w:r>
        <w:rPr>
          <w:rFonts w:ascii="Arial" w:hAnsi="Arial" w:cs="Arial"/>
          <w:sz w:val="24"/>
        </w:rPr>
        <w:t xml:space="preserve">investigación </w:t>
      </w:r>
      <w:r w:rsidR="00794801">
        <w:rPr>
          <w:rFonts w:ascii="Arial" w:hAnsi="Arial" w:cs="Arial"/>
          <w:sz w:val="24"/>
        </w:rPr>
        <w:t xml:space="preserve">de finales del siglo XX y </w:t>
      </w:r>
      <w:r>
        <w:rPr>
          <w:rFonts w:ascii="Arial" w:hAnsi="Arial" w:cs="Arial"/>
          <w:sz w:val="24"/>
        </w:rPr>
        <w:t>la primera década del siglo XXI</w:t>
      </w:r>
      <w:r w:rsidR="009C3B15">
        <w:rPr>
          <w:rFonts w:ascii="Arial" w:hAnsi="Arial" w:cs="Arial"/>
          <w:sz w:val="24"/>
        </w:rPr>
        <w:t xml:space="preserve"> en la </w:t>
      </w:r>
      <w:proofErr w:type="spellStart"/>
      <w:r w:rsidR="009C3B15">
        <w:rPr>
          <w:rFonts w:ascii="Arial" w:hAnsi="Arial" w:cs="Arial"/>
          <w:sz w:val="24"/>
        </w:rPr>
        <w:t>UACh</w:t>
      </w:r>
      <w:proofErr w:type="spellEnd"/>
      <w:r w:rsidR="009C4F03">
        <w:rPr>
          <w:rFonts w:ascii="Arial" w:hAnsi="Arial" w:cs="Arial"/>
          <w:sz w:val="24"/>
        </w:rPr>
        <w:t>, sino que es una tendencia predominante desde los orígenes de esta universidad agrícola que se ha caracterizado por la aplicación del conocimiento y el uso de tecnologías para la producción</w:t>
      </w:r>
      <w:r w:rsidR="00413630">
        <w:rPr>
          <w:rFonts w:ascii="Arial" w:hAnsi="Arial" w:cs="Arial"/>
          <w:sz w:val="24"/>
        </w:rPr>
        <w:t xml:space="preserve">. </w:t>
      </w:r>
    </w:p>
    <w:p w:rsidR="009C4F03" w:rsidRDefault="009C4F03" w:rsidP="00C20D5F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4C1035" w:rsidRDefault="00C67A60" w:rsidP="004C1035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Ciertamente han </w:t>
      </w:r>
      <w:r w:rsidR="00AF7D6E">
        <w:rPr>
          <w:rFonts w:ascii="Arial" w:hAnsi="Arial" w:cs="Arial"/>
          <w:sz w:val="24"/>
        </w:rPr>
        <w:t xml:space="preserve">aparecido </w:t>
      </w:r>
      <w:r w:rsidR="00D12D18">
        <w:rPr>
          <w:rFonts w:ascii="Arial" w:hAnsi="Arial" w:cs="Arial"/>
          <w:sz w:val="24"/>
        </w:rPr>
        <w:t xml:space="preserve">nuevos </w:t>
      </w:r>
      <w:r w:rsidR="00EC543B">
        <w:rPr>
          <w:rFonts w:ascii="Arial" w:hAnsi="Arial" w:cs="Arial"/>
          <w:sz w:val="24"/>
        </w:rPr>
        <w:t xml:space="preserve">procesos en la producción del conocimiento y nuevos actores </w:t>
      </w:r>
      <w:r w:rsidR="00D12D18">
        <w:rPr>
          <w:rFonts w:ascii="Arial" w:hAnsi="Arial" w:cs="Arial"/>
          <w:sz w:val="24"/>
        </w:rPr>
        <w:t xml:space="preserve">que brindan financiamiento para el desarrollo dela investigación porque el recurso que proviene de la universidad ha sido insuficiente y por ello se ha  recurrido a fuentes externas como son los organismos gubernamentales, </w:t>
      </w:r>
      <w:r w:rsidR="001A0F24">
        <w:rPr>
          <w:rFonts w:ascii="Arial" w:hAnsi="Arial" w:cs="Arial"/>
          <w:sz w:val="24"/>
        </w:rPr>
        <w:t xml:space="preserve">las </w:t>
      </w:r>
      <w:r w:rsidR="00D12D18">
        <w:rPr>
          <w:rFonts w:ascii="Arial" w:hAnsi="Arial" w:cs="Arial"/>
          <w:sz w:val="24"/>
        </w:rPr>
        <w:t xml:space="preserve">fundaciones y en menor medida la empresa. </w:t>
      </w:r>
      <w:r w:rsidR="00EC543B">
        <w:rPr>
          <w:rFonts w:ascii="Arial" w:hAnsi="Arial" w:cs="Arial"/>
          <w:sz w:val="24"/>
        </w:rPr>
        <w:t>E</w:t>
      </w:r>
      <w:r w:rsidR="00C20D5F">
        <w:rPr>
          <w:rFonts w:ascii="Arial" w:hAnsi="Arial" w:cs="Arial"/>
          <w:sz w:val="24"/>
        </w:rPr>
        <w:t xml:space="preserve">sta orientación define que se produce, cómo se produce, </w:t>
      </w:r>
      <w:r w:rsidR="00C20D5F">
        <w:rPr>
          <w:rFonts w:ascii="Arial" w:hAnsi="Arial" w:cs="Arial"/>
          <w:sz w:val="24"/>
        </w:rPr>
        <w:lastRenderedPageBreak/>
        <w:t>dónde se produce, para qué se produce  y quiénes lo producen porque en estos nuevos escenarios se establecen nuevas formas de relación social, de organización social  con responsabilidad e impacto social. Estas interacciones conllevan nuevos aprendizajes que rebasan el ámbito de la disciplina para ir más allá de ella y construir nuevos saberes, nuevos conocimientos que  atiendan la problemática social. En este escenario</w:t>
      </w:r>
      <w:r>
        <w:rPr>
          <w:rFonts w:ascii="Arial" w:hAnsi="Arial" w:cs="Arial"/>
          <w:sz w:val="24"/>
        </w:rPr>
        <w:t>,</w:t>
      </w:r>
      <w:r w:rsidR="00C20D5F">
        <w:rPr>
          <w:rFonts w:ascii="Arial" w:hAnsi="Arial" w:cs="Arial"/>
          <w:sz w:val="24"/>
        </w:rPr>
        <w:t xml:space="preserve"> el conocimiento se vislumbra como un proceso de creación infinito, como un proceso innovador, un proceso creativo, productivo y constructivo; un proceso de cambio. </w:t>
      </w:r>
      <w:r w:rsidR="004C1035">
        <w:rPr>
          <w:rFonts w:ascii="Arial" w:hAnsi="Arial" w:cs="Arial"/>
          <w:sz w:val="24"/>
        </w:rPr>
        <w:t xml:space="preserve">La </w:t>
      </w:r>
      <w:proofErr w:type="spellStart"/>
      <w:r w:rsidR="004C1035">
        <w:rPr>
          <w:rFonts w:ascii="Arial" w:hAnsi="Arial" w:cs="Arial"/>
          <w:sz w:val="24"/>
        </w:rPr>
        <w:t>UACh</w:t>
      </w:r>
      <w:proofErr w:type="spellEnd"/>
      <w:r w:rsidR="004C1035">
        <w:rPr>
          <w:rFonts w:ascii="Arial" w:hAnsi="Arial" w:cs="Arial"/>
          <w:sz w:val="24"/>
        </w:rPr>
        <w:t xml:space="preserve"> entonces tiene el reto de construir nuevos saberes, nuevos aprendizajes, nuevas relaciones sociales para producir conocimiento</w:t>
      </w:r>
      <w:r w:rsidR="001A0F24">
        <w:rPr>
          <w:rFonts w:ascii="Arial" w:hAnsi="Arial" w:cs="Arial"/>
          <w:sz w:val="24"/>
        </w:rPr>
        <w:t xml:space="preserve">. </w:t>
      </w:r>
      <w:r w:rsidR="004C1035">
        <w:rPr>
          <w:rFonts w:ascii="Arial" w:hAnsi="Arial" w:cs="Arial"/>
          <w:sz w:val="24"/>
        </w:rPr>
        <w:t xml:space="preserve"> </w:t>
      </w:r>
    </w:p>
    <w:p w:rsidR="001D389F" w:rsidRDefault="001D389F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</w:p>
    <w:p w:rsidR="00212122" w:rsidRPr="0019540B" w:rsidRDefault="001D389F" w:rsidP="0019540B">
      <w:pPr>
        <w:pStyle w:val="Textoindependiente"/>
        <w:spacing w:line="360" w:lineRule="auto"/>
        <w:ind w:right="-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Estos nuevos saberes o estas innovaciones deberían enfocarse a atender los problemas del agro mexicano y la crisis alimentaria. </w:t>
      </w:r>
      <w:r w:rsidR="007C503C">
        <w:rPr>
          <w:rFonts w:ascii="Arial" w:hAnsi="Arial" w:cs="Arial"/>
          <w:sz w:val="24"/>
        </w:rPr>
        <w:t xml:space="preserve">Desarrollar ciencia, tecnología e innovaciones para </w:t>
      </w:r>
      <w:r w:rsidR="00561439">
        <w:rPr>
          <w:rFonts w:ascii="Arial" w:hAnsi="Arial" w:cs="Arial"/>
          <w:sz w:val="24"/>
        </w:rPr>
        <w:t xml:space="preserve">producir </w:t>
      </w:r>
      <w:r w:rsidR="007C503C">
        <w:rPr>
          <w:rFonts w:ascii="Arial" w:hAnsi="Arial" w:cs="Arial"/>
          <w:sz w:val="24"/>
        </w:rPr>
        <w:t>maquinaria agrícola, sistemas de riego</w:t>
      </w:r>
      <w:r w:rsidR="00561439">
        <w:rPr>
          <w:rFonts w:ascii="Arial" w:hAnsi="Arial" w:cs="Arial"/>
          <w:sz w:val="24"/>
        </w:rPr>
        <w:t xml:space="preserve"> innovadores</w:t>
      </w:r>
      <w:r w:rsidR="007C503C">
        <w:rPr>
          <w:rFonts w:ascii="Arial" w:hAnsi="Arial" w:cs="Arial"/>
          <w:sz w:val="24"/>
        </w:rPr>
        <w:t xml:space="preserve">, fertilizantes, semillas mejoradas que puedan atender el problema de la producción agrícola en </w:t>
      </w:r>
      <w:r w:rsidR="004C1035">
        <w:rPr>
          <w:rFonts w:ascii="Arial" w:hAnsi="Arial" w:cs="Arial"/>
          <w:sz w:val="24"/>
        </w:rPr>
        <w:t xml:space="preserve">México </w:t>
      </w:r>
      <w:r w:rsidR="007C503C">
        <w:rPr>
          <w:rFonts w:ascii="Arial" w:hAnsi="Arial" w:cs="Arial"/>
          <w:sz w:val="24"/>
        </w:rPr>
        <w:t xml:space="preserve">como factor determinante de la pobreza y el hambre. </w:t>
      </w:r>
      <w:r w:rsidR="00561439">
        <w:rPr>
          <w:rFonts w:ascii="Arial" w:hAnsi="Arial" w:cs="Arial"/>
          <w:sz w:val="24"/>
        </w:rPr>
        <w:t>México</w:t>
      </w:r>
      <w:r w:rsidR="007C503C">
        <w:rPr>
          <w:rFonts w:ascii="Arial" w:hAnsi="Arial" w:cs="Arial"/>
          <w:sz w:val="24"/>
        </w:rPr>
        <w:t xml:space="preserve"> como un país que pertenece a la </w:t>
      </w:r>
      <w:r w:rsidR="004C1035">
        <w:rPr>
          <w:rFonts w:ascii="Arial" w:hAnsi="Arial" w:cs="Arial"/>
          <w:sz w:val="24"/>
        </w:rPr>
        <w:t xml:space="preserve">Organización para Cooperación y el Desarrollo Económico (OCDE) </w:t>
      </w:r>
      <w:r w:rsidR="00561439">
        <w:rPr>
          <w:rFonts w:ascii="Arial" w:hAnsi="Arial" w:cs="Arial"/>
          <w:sz w:val="24"/>
        </w:rPr>
        <w:t xml:space="preserve">al nivel de la </w:t>
      </w:r>
      <w:r w:rsidR="004C1035">
        <w:rPr>
          <w:rFonts w:ascii="Arial" w:hAnsi="Arial" w:cs="Arial"/>
          <w:sz w:val="24"/>
        </w:rPr>
        <w:t xml:space="preserve">grandes potencias económicas </w:t>
      </w:r>
      <w:r w:rsidR="007C503C">
        <w:rPr>
          <w:rFonts w:ascii="Arial" w:hAnsi="Arial" w:cs="Arial"/>
          <w:sz w:val="24"/>
        </w:rPr>
        <w:t xml:space="preserve">en el mundo </w:t>
      </w:r>
      <w:r w:rsidR="004C1035">
        <w:rPr>
          <w:rFonts w:ascii="Arial" w:hAnsi="Arial" w:cs="Arial"/>
          <w:sz w:val="24"/>
        </w:rPr>
        <w:t xml:space="preserve">deberán enfocarse a atender la demanda social para que realmente sea competitivo </w:t>
      </w:r>
      <w:r w:rsidR="00561439">
        <w:rPr>
          <w:rFonts w:ascii="Arial" w:hAnsi="Arial" w:cs="Arial"/>
          <w:sz w:val="24"/>
        </w:rPr>
        <w:t xml:space="preserve">no sólo por su producción en </w:t>
      </w:r>
      <w:r w:rsidR="004C1035">
        <w:rPr>
          <w:rFonts w:ascii="Arial" w:hAnsi="Arial" w:cs="Arial"/>
          <w:sz w:val="24"/>
        </w:rPr>
        <w:t>ciencia, tecnología e innovación</w:t>
      </w:r>
      <w:r w:rsidR="00561439">
        <w:rPr>
          <w:rFonts w:ascii="Arial" w:hAnsi="Arial" w:cs="Arial"/>
          <w:sz w:val="24"/>
        </w:rPr>
        <w:t xml:space="preserve">, sino porque las condiciones de vida de la población sean el </w:t>
      </w:r>
      <w:r w:rsidR="001A0F24">
        <w:rPr>
          <w:rFonts w:ascii="Arial" w:hAnsi="Arial" w:cs="Arial"/>
          <w:sz w:val="24"/>
        </w:rPr>
        <w:t xml:space="preserve">reflejo de una sociedad </w:t>
      </w:r>
      <w:r w:rsidR="00561439">
        <w:rPr>
          <w:rFonts w:ascii="Arial" w:hAnsi="Arial" w:cs="Arial"/>
          <w:sz w:val="24"/>
        </w:rPr>
        <w:t xml:space="preserve">que tiene el nivel de los países desarrollados para ser </w:t>
      </w:r>
      <w:r w:rsidR="001A0F24">
        <w:rPr>
          <w:rFonts w:ascii="Arial" w:hAnsi="Arial" w:cs="Arial"/>
          <w:sz w:val="24"/>
        </w:rPr>
        <w:t>competitiva</w:t>
      </w:r>
      <w:r w:rsidR="004C1035">
        <w:rPr>
          <w:rFonts w:ascii="Arial" w:hAnsi="Arial" w:cs="Arial"/>
          <w:sz w:val="24"/>
        </w:rPr>
        <w:t xml:space="preserve">. </w:t>
      </w:r>
      <w:r w:rsidR="00F74D57">
        <w:rPr>
          <w:rFonts w:ascii="Arial" w:hAnsi="Arial" w:cs="Arial"/>
          <w:sz w:val="24"/>
        </w:rPr>
        <w:t xml:space="preserve">El reto de la </w:t>
      </w:r>
      <w:proofErr w:type="spellStart"/>
      <w:r w:rsidR="00F74D57">
        <w:rPr>
          <w:rFonts w:ascii="Arial" w:hAnsi="Arial" w:cs="Arial"/>
          <w:sz w:val="24"/>
        </w:rPr>
        <w:t>UACh</w:t>
      </w:r>
      <w:proofErr w:type="spellEnd"/>
      <w:r w:rsidR="00F74D57">
        <w:rPr>
          <w:rFonts w:ascii="Arial" w:hAnsi="Arial" w:cs="Arial"/>
          <w:sz w:val="24"/>
        </w:rPr>
        <w:t xml:space="preserve"> es no solo fortalecer la investigación sino el resto de las funciones sustantivas con proyectos sólidos innovadores que atiendan la demanda social.</w:t>
      </w:r>
    </w:p>
    <w:p w:rsidR="001B66C4" w:rsidRPr="001B66C4" w:rsidRDefault="001B66C4" w:rsidP="0019540B">
      <w:pPr>
        <w:pStyle w:val="Textoindependiente"/>
        <w:spacing w:line="360" w:lineRule="auto"/>
        <w:ind w:right="-284"/>
        <w:rPr>
          <w:rFonts w:ascii="Arial" w:hAnsi="Arial" w:cs="Arial"/>
          <w:b/>
          <w:sz w:val="24"/>
        </w:rPr>
      </w:pPr>
      <w:r w:rsidRPr="001B66C4">
        <w:rPr>
          <w:rFonts w:ascii="Arial" w:hAnsi="Arial" w:cs="Arial"/>
          <w:b/>
          <w:sz w:val="24"/>
        </w:rPr>
        <w:t xml:space="preserve">Literatura consultada </w:t>
      </w:r>
    </w:p>
    <w:p w:rsidR="00EE142C" w:rsidRPr="006342F2" w:rsidRDefault="00EE142C" w:rsidP="0019540B">
      <w:pPr>
        <w:pStyle w:val="Textonotapi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>Carrizo, L., 2004a, “Conocimiento y responsabil</w:t>
      </w:r>
      <w:r w:rsidR="00BB558F" w:rsidRPr="006342F2">
        <w:rPr>
          <w:rFonts w:ascii="Arial" w:hAnsi="Arial" w:cs="Arial"/>
          <w:sz w:val="20"/>
          <w:szCs w:val="20"/>
        </w:rPr>
        <w:t xml:space="preserve">idad. Retos y desafíos hacia la </w:t>
      </w:r>
      <w:r w:rsidRPr="006342F2">
        <w:rPr>
          <w:rFonts w:ascii="Arial" w:hAnsi="Arial" w:cs="Arial"/>
          <w:sz w:val="20"/>
          <w:szCs w:val="20"/>
        </w:rPr>
        <w:t xml:space="preserve">universidad </w:t>
      </w:r>
      <w:proofErr w:type="spellStart"/>
      <w:r w:rsidRPr="006342F2">
        <w:rPr>
          <w:rFonts w:ascii="Arial" w:hAnsi="Arial" w:cs="Arial"/>
          <w:sz w:val="20"/>
          <w:szCs w:val="20"/>
        </w:rPr>
        <w:t>transdisciplinaria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” en </w:t>
      </w:r>
      <w:r w:rsidRPr="006342F2">
        <w:rPr>
          <w:rFonts w:ascii="Arial" w:hAnsi="Arial" w:cs="Arial"/>
          <w:i/>
          <w:sz w:val="20"/>
          <w:szCs w:val="20"/>
        </w:rPr>
        <w:t>Cuadernos del CLAEH,</w:t>
      </w:r>
      <w:r w:rsidRPr="006342F2">
        <w:rPr>
          <w:rFonts w:ascii="Arial" w:hAnsi="Arial" w:cs="Arial"/>
          <w:sz w:val="20"/>
          <w:szCs w:val="20"/>
        </w:rPr>
        <w:t xml:space="preserve"> No, 89, diciembre, pp. 1-13.</w:t>
      </w:r>
    </w:p>
    <w:p w:rsidR="00EE142C" w:rsidRPr="006342F2" w:rsidRDefault="00EE142C" w:rsidP="0019540B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Carrizo, L., 2004b, “Producción del conocimiento y Políticas Públicas. Desafíos de la universidad para la gobernanza académica”, </w:t>
      </w:r>
      <w:r w:rsidRPr="006342F2">
        <w:rPr>
          <w:rFonts w:ascii="Arial" w:hAnsi="Arial" w:cs="Arial"/>
          <w:i/>
          <w:sz w:val="20"/>
          <w:szCs w:val="20"/>
        </w:rPr>
        <w:t>Revista Reencuentro</w:t>
      </w:r>
      <w:r w:rsidRPr="006342F2">
        <w:rPr>
          <w:rFonts w:ascii="Arial" w:hAnsi="Arial" w:cs="Arial"/>
          <w:sz w:val="20"/>
          <w:szCs w:val="20"/>
        </w:rPr>
        <w:t>, No. 40, México, Universidad Autónoma Metropolitana-Xochimilco, agosto,  pp. 89-100.</w:t>
      </w:r>
    </w:p>
    <w:p w:rsidR="00AF35C6" w:rsidRPr="006342F2" w:rsidRDefault="00AF35C6" w:rsidP="0019540B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>Cívicos J. A y Hernández H. M. (</w:t>
      </w:r>
      <w:r w:rsidR="000A413F" w:rsidRPr="006342F2">
        <w:rPr>
          <w:rFonts w:ascii="Arial" w:hAnsi="Arial" w:cs="Arial"/>
          <w:sz w:val="20"/>
          <w:szCs w:val="20"/>
        </w:rPr>
        <w:t>2007), Algunas reflexiones y aportaciones en torno a los enfoques teóricos y prácticos de la investigación en Trabajo Social</w:t>
      </w:r>
      <w:r w:rsidR="000D0658" w:rsidRPr="006342F2">
        <w:rPr>
          <w:rFonts w:ascii="Arial" w:hAnsi="Arial" w:cs="Arial"/>
          <w:sz w:val="20"/>
          <w:szCs w:val="20"/>
        </w:rPr>
        <w:t xml:space="preserve"> en Acciones e Investigaciones Sociales, 23 (enero 2007), pp. 25-55. </w:t>
      </w:r>
    </w:p>
    <w:p w:rsidR="00EE142C" w:rsidRPr="006342F2" w:rsidRDefault="00EE142C" w:rsidP="0019540B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David Paul A. y Dominique </w:t>
      </w:r>
      <w:proofErr w:type="spellStart"/>
      <w:r w:rsidRPr="006342F2">
        <w:rPr>
          <w:rFonts w:ascii="Arial" w:hAnsi="Arial" w:cs="Arial"/>
          <w:sz w:val="20"/>
          <w:szCs w:val="20"/>
        </w:rPr>
        <w:t>Foray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 (2002), en Comercio </w:t>
      </w:r>
      <w:proofErr w:type="spellStart"/>
      <w:r w:rsidRPr="006342F2">
        <w:rPr>
          <w:rFonts w:ascii="Arial" w:hAnsi="Arial" w:cs="Arial"/>
          <w:sz w:val="20"/>
          <w:szCs w:val="20"/>
        </w:rPr>
        <w:t>Exerior</w:t>
      </w:r>
      <w:proofErr w:type="spellEnd"/>
      <w:r w:rsidRPr="006342F2">
        <w:rPr>
          <w:rFonts w:ascii="Arial" w:hAnsi="Arial" w:cs="Arial"/>
          <w:sz w:val="20"/>
          <w:szCs w:val="20"/>
        </w:rPr>
        <w:t>, Vol. 52, Núm. 6, Junio de 2012, pp. 472-490</w:t>
      </w:r>
    </w:p>
    <w:p w:rsidR="00EE142C" w:rsidRPr="006342F2" w:rsidRDefault="00EE142C" w:rsidP="0019540B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proofErr w:type="spellStart"/>
      <w:r w:rsidRPr="006342F2">
        <w:rPr>
          <w:rFonts w:ascii="Arial" w:hAnsi="Arial" w:cs="Arial"/>
          <w:sz w:val="20"/>
          <w:szCs w:val="20"/>
        </w:rPr>
        <w:lastRenderedPageBreak/>
        <w:t>Gibbons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 Michel, 1998, </w:t>
      </w:r>
      <w:r w:rsidRPr="006342F2">
        <w:rPr>
          <w:rFonts w:ascii="Arial" w:hAnsi="Arial" w:cs="Arial"/>
          <w:i/>
          <w:sz w:val="20"/>
          <w:szCs w:val="20"/>
        </w:rPr>
        <w:t>Pertinencia de la Educación Superior en el Siglo XXI</w:t>
      </w:r>
      <w:r w:rsidRPr="006342F2">
        <w:rPr>
          <w:rFonts w:ascii="Arial" w:hAnsi="Arial" w:cs="Arial"/>
          <w:sz w:val="20"/>
          <w:szCs w:val="20"/>
        </w:rPr>
        <w:t>, Banco Mundial.</w:t>
      </w:r>
    </w:p>
    <w:p w:rsidR="00EE142C" w:rsidRPr="006342F2" w:rsidRDefault="00EE142C" w:rsidP="00FC782B">
      <w:pPr>
        <w:pStyle w:val="Textoindependiente"/>
        <w:spacing w:line="360" w:lineRule="auto"/>
        <w:ind w:left="709" w:right="-284" w:hanging="709"/>
        <w:jc w:val="left"/>
        <w:rPr>
          <w:rFonts w:ascii="Arial" w:hAnsi="Arial" w:cs="Arial"/>
          <w:sz w:val="20"/>
          <w:szCs w:val="20"/>
        </w:rPr>
      </w:pPr>
      <w:proofErr w:type="spellStart"/>
      <w:r w:rsidRPr="006342F2">
        <w:rPr>
          <w:rFonts w:ascii="Arial" w:hAnsi="Arial" w:cs="Arial"/>
          <w:sz w:val="20"/>
          <w:szCs w:val="20"/>
        </w:rPr>
        <w:t>Gibbons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 Michel, </w:t>
      </w:r>
      <w:r w:rsidRPr="006342F2">
        <w:rPr>
          <w:rFonts w:ascii="Arial" w:hAnsi="Arial" w:cs="Arial"/>
          <w:i/>
          <w:sz w:val="20"/>
          <w:szCs w:val="20"/>
        </w:rPr>
        <w:t>et. al</w:t>
      </w:r>
      <w:r w:rsidRPr="006342F2">
        <w:rPr>
          <w:rFonts w:ascii="Arial" w:hAnsi="Arial" w:cs="Arial"/>
          <w:sz w:val="20"/>
          <w:szCs w:val="20"/>
        </w:rPr>
        <w:t xml:space="preserve">., 1997, </w:t>
      </w:r>
      <w:r w:rsidRPr="006342F2">
        <w:rPr>
          <w:rFonts w:ascii="Arial" w:hAnsi="Arial" w:cs="Arial"/>
          <w:i/>
          <w:sz w:val="20"/>
          <w:szCs w:val="20"/>
        </w:rPr>
        <w:t>La Nueva Producción del Conocimiento</w:t>
      </w:r>
      <w:r w:rsidRPr="006342F2">
        <w:rPr>
          <w:rFonts w:ascii="Arial" w:hAnsi="Arial" w:cs="Arial"/>
          <w:sz w:val="20"/>
          <w:szCs w:val="20"/>
        </w:rPr>
        <w:t xml:space="preserve">, Pomares, Barcelona. </w:t>
      </w:r>
    </w:p>
    <w:p w:rsidR="00EE142C" w:rsidRPr="006342F2" w:rsidRDefault="00EE142C" w:rsidP="0019540B">
      <w:pPr>
        <w:pStyle w:val="Textoindependiente"/>
        <w:spacing w:line="360" w:lineRule="auto"/>
        <w:ind w:right="-284"/>
        <w:rPr>
          <w:rFonts w:ascii="Arial" w:hAnsi="Arial" w:cs="Arial"/>
          <w:sz w:val="20"/>
          <w:szCs w:val="20"/>
        </w:rPr>
      </w:pPr>
      <w:proofErr w:type="spellStart"/>
      <w:r w:rsidRPr="006342F2">
        <w:rPr>
          <w:rFonts w:ascii="Arial" w:hAnsi="Arial" w:cs="Arial"/>
          <w:sz w:val="20"/>
          <w:szCs w:val="20"/>
        </w:rPr>
        <w:t>Lundvall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342F2">
        <w:rPr>
          <w:rFonts w:ascii="Arial" w:hAnsi="Arial" w:cs="Arial"/>
          <w:sz w:val="20"/>
          <w:szCs w:val="20"/>
        </w:rPr>
        <w:t>Bengt-Ake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, 1999, “La base del conocimiento y su producción”, </w:t>
      </w:r>
      <w:proofErr w:type="spellStart"/>
      <w:r w:rsidRPr="006342F2">
        <w:rPr>
          <w:rFonts w:ascii="Arial" w:hAnsi="Arial" w:cs="Arial"/>
          <w:i/>
          <w:sz w:val="20"/>
          <w:szCs w:val="20"/>
        </w:rPr>
        <w:t>Ekonomiaz</w:t>
      </w:r>
      <w:proofErr w:type="spellEnd"/>
      <w:r w:rsidRPr="006342F2">
        <w:rPr>
          <w:rFonts w:ascii="Arial" w:hAnsi="Arial" w:cs="Arial"/>
          <w:i/>
          <w:sz w:val="20"/>
          <w:szCs w:val="20"/>
        </w:rPr>
        <w:t>: Revista vasca de economía</w:t>
      </w:r>
      <w:r w:rsidRPr="006342F2">
        <w:rPr>
          <w:rFonts w:ascii="Arial" w:hAnsi="Arial" w:cs="Arial"/>
          <w:sz w:val="20"/>
          <w:szCs w:val="20"/>
        </w:rPr>
        <w:t>, ISSN 0213-3865, no. 45, pp. 14-37.</w:t>
      </w:r>
    </w:p>
    <w:p w:rsidR="00EE142C" w:rsidRPr="006342F2" w:rsidRDefault="00EE142C" w:rsidP="006D6904">
      <w:pPr>
        <w:autoSpaceDE w:val="0"/>
        <w:autoSpaceDN w:val="0"/>
        <w:adjustRightInd w:val="0"/>
        <w:spacing w:line="360" w:lineRule="auto"/>
        <w:ind w:left="709" w:right="-284" w:hanging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6342F2">
        <w:rPr>
          <w:rFonts w:ascii="Arial" w:eastAsiaTheme="minorHAnsi" w:hAnsi="Arial" w:cs="Arial"/>
          <w:bCs/>
          <w:sz w:val="20"/>
          <w:szCs w:val="20"/>
          <w:lang w:val="en-US" w:eastAsia="en-US"/>
        </w:rPr>
        <w:t>Otara</w:t>
      </w:r>
      <w:proofErr w:type="spellEnd"/>
      <w:r w:rsidRPr="006342F2">
        <w:rPr>
          <w:rFonts w:ascii="Arial" w:eastAsiaTheme="minorHAnsi" w:hAnsi="Arial" w:cs="Arial"/>
          <w:bCs/>
          <w:sz w:val="20"/>
          <w:szCs w:val="20"/>
          <w:lang w:val="en-US" w:eastAsia="en-US"/>
        </w:rPr>
        <w:t xml:space="preserve"> A. (2014). </w:t>
      </w:r>
      <w:proofErr w:type="gramStart"/>
      <w:r w:rsidRPr="006342F2">
        <w:rPr>
          <w:rFonts w:ascii="Arial" w:eastAsiaTheme="minorHAnsi" w:hAnsi="Arial" w:cs="Arial"/>
          <w:bCs/>
          <w:i/>
          <w:sz w:val="20"/>
          <w:szCs w:val="20"/>
          <w:lang w:val="en-US" w:eastAsia="en-US"/>
        </w:rPr>
        <w:t xml:space="preserve">Rethinking University Education: A Navigation in the Emerging Knowledge Economy in </w:t>
      </w:r>
      <w:proofErr w:type="spellStart"/>
      <w:r w:rsidRPr="006342F2">
        <w:rPr>
          <w:rFonts w:ascii="Arial" w:eastAsiaTheme="minorHAnsi" w:hAnsi="Arial" w:cs="Arial"/>
          <w:bCs/>
          <w:i/>
          <w:sz w:val="20"/>
          <w:szCs w:val="20"/>
          <w:lang w:val="en-US" w:eastAsia="en-US"/>
        </w:rPr>
        <w:t>Africa.</w:t>
      </w:r>
      <w:r w:rsidRPr="006342F2">
        <w:rPr>
          <w:rFonts w:ascii="Arial" w:eastAsiaTheme="minorHAnsi" w:hAnsi="Arial" w:cs="Arial"/>
          <w:i/>
          <w:sz w:val="20"/>
          <w:szCs w:val="20"/>
          <w:lang w:val="en-US" w:eastAsia="en-US"/>
        </w:rPr>
        <w:t>Journal</w:t>
      </w:r>
      <w:proofErr w:type="spellEnd"/>
      <w:r w:rsidRPr="006342F2">
        <w:rPr>
          <w:rFonts w:ascii="Arial" w:eastAsiaTheme="minorHAnsi" w:hAnsi="Arial" w:cs="Arial"/>
          <w:i/>
          <w:sz w:val="20"/>
          <w:szCs w:val="20"/>
          <w:lang w:val="en-US" w:eastAsia="en-US"/>
        </w:rPr>
        <w:t xml:space="preserve"> of Education&amp; Human Development.</w:t>
      </w:r>
      <w:proofErr w:type="gramEnd"/>
      <w:r w:rsidRPr="006342F2">
        <w:rPr>
          <w:rFonts w:ascii="Arial" w:eastAsiaTheme="minorHAnsi" w:hAnsi="Arial" w:cs="Arial"/>
          <w:i/>
          <w:sz w:val="20"/>
          <w:szCs w:val="20"/>
          <w:lang w:val="en-US" w:eastAsia="en-US"/>
        </w:rPr>
        <w:t xml:space="preserve"> </w:t>
      </w:r>
      <w:proofErr w:type="spellStart"/>
      <w:r w:rsidRPr="006342F2">
        <w:rPr>
          <w:rFonts w:ascii="Arial" w:eastAsiaTheme="minorHAnsi" w:hAnsi="Arial" w:cs="Arial"/>
          <w:sz w:val="20"/>
          <w:szCs w:val="20"/>
          <w:lang w:eastAsia="en-US"/>
        </w:rPr>
        <w:t>March</w:t>
      </w:r>
      <w:proofErr w:type="spellEnd"/>
      <w:r w:rsidRPr="006342F2">
        <w:rPr>
          <w:rFonts w:ascii="Arial" w:eastAsiaTheme="minorHAnsi" w:hAnsi="Arial" w:cs="Arial"/>
          <w:sz w:val="20"/>
          <w:szCs w:val="20"/>
          <w:lang w:eastAsia="en-US"/>
        </w:rPr>
        <w:t xml:space="preserve"> 2014, Vol. 3, No. 1, pp. 449-471</w:t>
      </w:r>
    </w:p>
    <w:p w:rsidR="00EE142C" w:rsidRPr="006342F2" w:rsidRDefault="00EE142C" w:rsidP="006D6904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Otero Gerardo, 1992, Agricultura, biotecnología e integración norteamericana, en Casas Guerrero, Rosalba </w:t>
      </w:r>
      <w:r w:rsidRPr="006342F2">
        <w:rPr>
          <w:rFonts w:ascii="Arial" w:hAnsi="Arial" w:cs="Arial"/>
          <w:i/>
          <w:sz w:val="20"/>
          <w:szCs w:val="20"/>
        </w:rPr>
        <w:t>et. al</w:t>
      </w:r>
      <w:proofErr w:type="gramStart"/>
      <w:r w:rsidRPr="006342F2">
        <w:rPr>
          <w:rFonts w:ascii="Arial" w:hAnsi="Arial" w:cs="Arial"/>
          <w:i/>
          <w:sz w:val="20"/>
          <w:szCs w:val="20"/>
        </w:rPr>
        <w:t>.</w:t>
      </w:r>
      <w:r w:rsidRPr="006342F2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6342F2">
        <w:rPr>
          <w:rFonts w:ascii="Arial" w:hAnsi="Arial" w:cs="Arial"/>
          <w:sz w:val="20"/>
          <w:szCs w:val="20"/>
        </w:rPr>
        <w:t>coords</w:t>
      </w:r>
      <w:proofErr w:type="spellEnd"/>
      <w:r w:rsidRPr="006342F2">
        <w:rPr>
          <w:rFonts w:ascii="Arial" w:hAnsi="Arial" w:cs="Arial"/>
          <w:sz w:val="20"/>
          <w:szCs w:val="20"/>
        </w:rPr>
        <w:t>.), la Biotecnología y sus repercusiones socioeconómicas y políticas, UAM-A, IIS-UNAM, IIE-UNAM, México, pp. 19-37.</w:t>
      </w:r>
    </w:p>
    <w:p w:rsidR="00EE142C" w:rsidRPr="006342F2" w:rsidRDefault="00EE142C" w:rsidP="006D6904">
      <w:pPr>
        <w:pStyle w:val="Textoindependiente"/>
        <w:spacing w:line="360" w:lineRule="auto"/>
        <w:ind w:left="709" w:right="-284" w:hanging="709"/>
        <w:rPr>
          <w:rFonts w:ascii="Arial" w:hAnsi="Arial" w:cs="Arial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Paul A. David y Dominique </w:t>
      </w:r>
      <w:proofErr w:type="spellStart"/>
      <w:r w:rsidRPr="006342F2">
        <w:rPr>
          <w:rFonts w:ascii="Arial" w:hAnsi="Arial" w:cs="Arial"/>
          <w:sz w:val="20"/>
          <w:szCs w:val="20"/>
        </w:rPr>
        <w:t>Foray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., 2002, “Una introducción a la economía y a la sociedad del saber”, en </w:t>
      </w:r>
      <w:r w:rsidRPr="006342F2">
        <w:rPr>
          <w:rFonts w:ascii="Arial" w:hAnsi="Arial" w:cs="Arial"/>
          <w:i/>
          <w:sz w:val="20"/>
          <w:szCs w:val="20"/>
        </w:rPr>
        <w:t>Revista Internacional de Ciencias Sociales (OEI)</w:t>
      </w:r>
      <w:r w:rsidRPr="006342F2">
        <w:rPr>
          <w:rFonts w:ascii="Arial" w:hAnsi="Arial" w:cs="Arial"/>
          <w:sz w:val="20"/>
          <w:szCs w:val="20"/>
        </w:rPr>
        <w:t xml:space="preserve">, Núm. 171, La Sociedad del Conocimiento, marzo, pp. 1-22. </w:t>
      </w:r>
    </w:p>
    <w:p w:rsidR="00C059CD" w:rsidRPr="006342F2" w:rsidRDefault="00EE142C" w:rsidP="006D6904">
      <w:pPr>
        <w:pStyle w:val="Textoindependiente"/>
        <w:spacing w:line="360" w:lineRule="auto"/>
        <w:ind w:left="709" w:right="-284" w:hanging="709"/>
        <w:rPr>
          <w:rFonts w:ascii="Arial" w:eastAsiaTheme="minorHAnsi" w:hAnsi="Arial" w:cs="Arial"/>
          <w:color w:val="FFFFFF"/>
          <w:sz w:val="20"/>
          <w:szCs w:val="20"/>
        </w:rPr>
      </w:pPr>
      <w:r w:rsidRPr="006342F2">
        <w:rPr>
          <w:rFonts w:ascii="Arial" w:hAnsi="Arial" w:cs="Arial"/>
          <w:sz w:val="20"/>
          <w:szCs w:val="20"/>
        </w:rPr>
        <w:t xml:space="preserve">Pérez T. Ruy (2009). Ciencia, conocimiento e identidad nacional en </w:t>
      </w:r>
      <w:r w:rsidRPr="006342F2">
        <w:rPr>
          <w:rFonts w:ascii="Arial" w:hAnsi="Arial" w:cs="Arial"/>
          <w:i/>
          <w:sz w:val="20"/>
          <w:szCs w:val="20"/>
        </w:rPr>
        <w:t>Reencuentro,</w:t>
      </w:r>
      <w:r w:rsidRPr="006342F2">
        <w:rPr>
          <w:rFonts w:ascii="Arial" w:hAnsi="Arial" w:cs="Arial"/>
          <w:sz w:val="20"/>
          <w:szCs w:val="20"/>
        </w:rPr>
        <w:t xml:space="preserve"> núm. 56, diciembre 2009, pp. 12-16, Universidad Autónoma Metropolitana Unidad Xochimilco, México. </w:t>
      </w:r>
      <w:r w:rsidRPr="006342F2">
        <w:rPr>
          <w:rFonts w:ascii="Arial" w:eastAsiaTheme="minorHAnsi" w:hAnsi="Arial" w:cs="Arial"/>
          <w:color w:val="FFFFFF"/>
          <w:sz w:val="20"/>
          <w:szCs w:val="20"/>
        </w:rPr>
        <w:t>, p</w:t>
      </w:r>
    </w:p>
    <w:p w:rsidR="00EE142C" w:rsidRPr="006342F2" w:rsidRDefault="00EE142C" w:rsidP="00AB39D2">
      <w:pPr>
        <w:spacing w:line="360" w:lineRule="auto"/>
        <w:ind w:left="709" w:right="-284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6342F2">
        <w:rPr>
          <w:rFonts w:ascii="Arial" w:hAnsi="Arial" w:cs="Arial"/>
          <w:sz w:val="20"/>
          <w:szCs w:val="20"/>
        </w:rPr>
        <w:t>Tedesco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 Juan Carlos (s/a). La política educativa en la sociedad del c</w:t>
      </w:r>
      <w:r w:rsidR="00AB39D2" w:rsidRPr="006342F2">
        <w:rPr>
          <w:rFonts w:ascii="Arial" w:hAnsi="Arial" w:cs="Arial"/>
          <w:sz w:val="20"/>
          <w:szCs w:val="20"/>
        </w:rPr>
        <w:t xml:space="preserve">onocimiento y de la información. </w:t>
      </w:r>
    </w:p>
    <w:p w:rsidR="00EE142C" w:rsidRPr="006342F2" w:rsidRDefault="00EE142C" w:rsidP="0019540B">
      <w:pPr>
        <w:pStyle w:val="Textoindependiente"/>
        <w:spacing w:line="360" w:lineRule="auto"/>
        <w:ind w:right="-284"/>
        <w:rPr>
          <w:rFonts w:ascii="Arial" w:hAnsi="Arial" w:cs="Arial"/>
          <w:sz w:val="20"/>
          <w:szCs w:val="20"/>
        </w:rPr>
      </w:pPr>
      <w:proofErr w:type="spellStart"/>
      <w:r w:rsidRPr="006342F2">
        <w:rPr>
          <w:rFonts w:ascii="Arial" w:hAnsi="Arial" w:cs="Arial"/>
          <w:sz w:val="20"/>
          <w:szCs w:val="20"/>
        </w:rPr>
        <w:t>UACh</w:t>
      </w:r>
      <w:proofErr w:type="spellEnd"/>
      <w:r w:rsidRPr="006342F2">
        <w:rPr>
          <w:rFonts w:ascii="Arial" w:hAnsi="Arial" w:cs="Arial"/>
          <w:sz w:val="20"/>
          <w:szCs w:val="20"/>
        </w:rPr>
        <w:t xml:space="preserve">, </w:t>
      </w:r>
      <w:r w:rsidR="00EF59D2" w:rsidRPr="006342F2">
        <w:rPr>
          <w:rFonts w:ascii="Arial" w:hAnsi="Arial" w:cs="Arial"/>
          <w:sz w:val="20"/>
          <w:szCs w:val="20"/>
        </w:rPr>
        <w:t xml:space="preserve">2000, Base de Datos de Dirección General de Investigación y Posgrado (DGIP) </w:t>
      </w:r>
      <w:r w:rsidRPr="006342F2">
        <w:rPr>
          <w:rFonts w:ascii="Arial" w:hAnsi="Arial" w:cs="Arial"/>
          <w:sz w:val="20"/>
          <w:szCs w:val="20"/>
        </w:rPr>
        <w:t>Universidad Autónoma Chapingo, Chapingo, México.</w:t>
      </w:r>
    </w:p>
    <w:sectPr w:rsidR="00EE142C" w:rsidRPr="006342F2" w:rsidSect="00FD7174">
      <w:pgSz w:w="12240" w:h="15840"/>
      <w:pgMar w:top="1417" w:right="14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289" w:rsidRDefault="00556289" w:rsidP="00F207B5">
      <w:r>
        <w:separator/>
      </w:r>
    </w:p>
  </w:endnote>
  <w:endnote w:type="continuationSeparator" w:id="0">
    <w:p w:rsidR="00556289" w:rsidRDefault="00556289" w:rsidP="00F2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289" w:rsidRDefault="00556289" w:rsidP="00F207B5">
      <w:r>
        <w:separator/>
      </w:r>
    </w:p>
  </w:footnote>
  <w:footnote w:type="continuationSeparator" w:id="0">
    <w:p w:rsidR="00556289" w:rsidRDefault="00556289" w:rsidP="00F207B5">
      <w:r>
        <w:continuationSeparator/>
      </w:r>
    </w:p>
  </w:footnote>
  <w:footnote w:id="1">
    <w:p w:rsidR="002A67A0" w:rsidRPr="002A67A0" w:rsidRDefault="002A67A0">
      <w:pPr>
        <w:pStyle w:val="Textonotapie"/>
        <w:rPr>
          <w:rFonts w:ascii="Arial" w:hAnsi="Arial" w:cs="Arial"/>
          <w:sz w:val="20"/>
          <w:szCs w:val="20"/>
          <w:lang w:val="es-MX"/>
        </w:rPr>
      </w:pPr>
      <w:r w:rsidRPr="002A67A0">
        <w:rPr>
          <w:rStyle w:val="Refdenotaalpie"/>
          <w:rFonts w:ascii="Arial" w:hAnsi="Arial" w:cs="Arial"/>
          <w:sz w:val="20"/>
          <w:szCs w:val="20"/>
        </w:rPr>
        <w:footnoteRef/>
      </w:r>
      <w:r w:rsidRPr="002A67A0">
        <w:rPr>
          <w:rFonts w:ascii="Arial" w:hAnsi="Arial" w:cs="Arial"/>
          <w:sz w:val="20"/>
          <w:szCs w:val="20"/>
        </w:rPr>
        <w:t xml:space="preserve"> </w:t>
      </w:r>
      <w:r w:rsidRPr="002A67A0">
        <w:rPr>
          <w:rFonts w:ascii="Arial" w:hAnsi="Arial" w:cs="Arial"/>
          <w:sz w:val="20"/>
          <w:szCs w:val="20"/>
          <w:lang w:val="es-MX"/>
        </w:rPr>
        <w:t>Profesora-Investigadora de la Universidad Autónoma Chapingo. Correo: gladysmartinezgomez@gmail.com</w:t>
      </w:r>
    </w:p>
  </w:footnote>
  <w:footnote w:id="2">
    <w:p w:rsidR="00B61971" w:rsidRPr="00B61971" w:rsidRDefault="00B61971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Información proporcionada por los informantes de calidad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D8C"/>
    <w:multiLevelType w:val="multilevel"/>
    <w:tmpl w:val="FCA4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C157DD"/>
    <w:multiLevelType w:val="hybridMultilevel"/>
    <w:tmpl w:val="0E66B9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12923"/>
    <w:multiLevelType w:val="multilevel"/>
    <w:tmpl w:val="60503E72"/>
    <w:lvl w:ilvl="0">
      <w:start w:val="1"/>
      <w:numFmt w:val="bullet"/>
      <w:pStyle w:val="Ttulo1"/>
      <w:lvlText w:null="1"/>
      <w:lvlJc w:val="left"/>
      <w:pPr>
        <w:tabs>
          <w:tab w:val="num" w:pos="1800"/>
        </w:tabs>
        <w:ind w:left="0" w:firstLine="0"/>
      </w:pPr>
      <w:rPr>
        <w:rFonts w:ascii="Symbol" w:hAnsi="Symbol" w:hint="default"/>
        <w:b/>
        <w:i w:val="0"/>
        <w:caps/>
        <w:sz w:val="28"/>
      </w:rPr>
    </w:lvl>
    <w:lvl w:ilvl="1">
      <w:start w:val="1"/>
      <w:numFmt w:val="none"/>
      <w:pStyle w:val="Ttulo2"/>
      <w:isLgl/>
      <w:lvlText w:val="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>
    <w:nsid w:val="231E6394"/>
    <w:multiLevelType w:val="multilevel"/>
    <w:tmpl w:val="DBCC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6C7962"/>
    <w:multiLevelType w:val="hybridMultilevel"/>
    <w:tmpl w:val="137001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5619"/>
    <w:multiLevelType w:val="hybridMultilevel"/>
    <w:tmpl w:val="4198B65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8718F"/>
    <w:multiLevelType w:val="hybridMultilevel"/>
    <w:tmpl w:val="713C78E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B485D"/>
    <w:multiLevelType w:val="hybridMultilevel"/>
    <w:tmpl w:val="BD4EFAB2"/>
    <w:lvl w:ilvl="0" w:tplc="738059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43180"/>
    <w:multiLevelType w:val="hybridMultilevel"/>
    <w:tmpl w:val="5DD423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B2653"/>
    <w:multiLevelType w:val="hybridMultilevel"/>
    <w:tmpl w:val="CFBCF45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B75260"/>
    <w:multiLevelType w:val="hybridMultilevel"/>
    <w:tmpl w:val="CC86CA7C"/>
    <w:lvl w:ilvl="0" w:tplc="77B2437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6CD91CBF"/>
    <w:multiLevelType w:val="hybridMultilevel"/>
    <w:tmpl w:val="215ADAC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8F5824"/>
    <w:multiLevelType w:val="hybridMultilevel"/>
    <w:tmpl w:val="58BC89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1421C"/>
    <w:multiLevelType w:val="hybridMultilevel"/>
    <w:tmpl w:val="CD18BA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3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 w:numId="13">
    <w:abstractNumId w:val="7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B5"/>
    <w:rsid w:val="00000536"/>
    <w:rsid w:val="00001104"/>
    <w:rsid w:val="00002572"/>
    <w:rsid w:val="000026FC"/>
    <w:rsid w:val="0000317C"/>
    <w:rsid w:val="00003AC3"/>
    <w:rsid w:val="00004964"/>
    <w:rsid w:val="0000514C"/>
    <w:rsid w:val="0000777C"/>
    <w:rsid w:val="00010DEC"/>
    <w:rsid w:val="000118D5"/>
    <w:rsid w:val="00015A8D"/>
    <w:rsid w:val="00015D09"/>
    <w:rsid w:val="000169DD"/>
    <w:rsid w:val="00017A64"/>
    <w:rsid w:val="00020B99"/>
    <w:rsid w:val="00021BCE"/>
    <w:rsid w:val="00021E2F"/>
    <w:rsid w:val="0002511B"/>
    <w:rsid w:val="0002597A"/>
    <w:rsid w:val="00025B69"/>
    <w:rsid w:val="00030506"/>
    <w:rsid w:val="00034468"/>
    <w:rsid w:val="000344E6"/>
    <w:rsid w:val="00035079"/>
    <w:rsid w:val="000368C7"/>
    <w:rsid w:val="000368EB"/>
    <w:rsid w:val="00040D3D"/>
    <w:rsid w:val="000416F9"/>
    <w:rsid w:val="00042A31"/>
    <w:rsid w:val="00042DA6"/>
    <w:rsid w:val="00042FD6"/>
    <w:rsid w:val="00043862"/>
    <w:rsid w:val="00043D67"/>
    <w:rsid w:val="00044334"/>
    <w:rsid w:val="00044FBF"/>
    <w:rsid w:val="00046686"/>
    <w:rsid w:val="00053EE7"/>
    <w:rsid w:val="000635FA"/>
    <w:rsid w:val="00063DB7"/>
    <w:rsid w:val="00064A79"/>
    <w:rsid w:val="0006523B"/>
    <w:rsid w:val="00067B97"/>
    <w:rsid w:val="00070FBC"/>
    <w:rsid w:val="00073E70"/>
    <w:rsid w:val="00073E90"/>
    <w:rsid w:val="00074A92"/>
    <w:rsid w:val="000764B5"/>
    <w:rsid w:val="00077B25"/>
    <w:rsid w:val="00084081"/>
    <w:rsid w:val="000843A9"/>
    <w:rsid w:val="00086626"/>
    <w:rsid w:val="0008689A"/>
    <w:rsid w:val="00086DDE"/>
    <w:rsid w:val="00087A54"/>
    <w:rsid w:val="00091F74"/>
    <w:rsid w:val="000920D1"/>
    <w:rsid w:val="000934B5"/>
    <w:rsid w:val="0009491C"/>
    <w:rsid w:val="00094EA7"/>
    <w:rsid w:val="00095BBF"/>
    <w:rsid w:val="00096AAE"/>
    <w:rsid w:val="00096CA2"/>
    <w:rsid w:val="000974F5"/>
    <w:rsid w:val="000A0416"/>
    <w:rsid w:val="000A0B01"/>
    <w:rsid w:val="000A139D"/>
    <w:rsid w:val="000A2857"/>
    <w:rsid w:val="000A2A91"/>
    <w:rsid w:val="000A2B36"/>
    <w:rsid w:val="000A3452"/>
    <w:rsid w:val="000A3DEF"/>
    <w:rsid w:val="000A413F"/>
    <w:rsid w:val="000A6023"/>
    <w:rsid w:val="000A73DF"/>
    <w:rsid w:val="000A79CA"/>
    <w:rsid w:val="000A7DBB"/>
    <w:rsid w:val="000B016E"/>
    <w:rsid w:val="000B365F"/>
    <w:rsid w:val="000B3992"/>
    <w:rsid w:val="000B426C"/>
    <w:rsid w:val="000B4F0F"/>
    <w:rsid w:val="000B55BF"/>
    <w:rsid w:val="000B6F32"/>
    <w:rsid w:val="000B7DF8"/>
    <w:rsid w:val="000C16FB"/>
    <w:rsid w:val="000C2C3F"/>
    <w:rsid w:val="000C3012"/>
    <w:rsid w:val="000C48CB"/>
    <w:rsid w:val="000C52DE"/>
    <w:rsid w:val="000C5F43"/>
    <w:rsid w:val="000D05D8"/>
    <w:rsid w:val="000D0658"/>
    <w:rsid w:val="000D3B5B"/>
    <w:rsid w:val="000D3C1B"/>
    <w:rsid w:val="000D52D8"/>
    <w:rsid w:val="000D5D47"/>
    <w:rsid w:val="000D6CBC"/>
    <w:rsid w:val="000E1B13"/>
    <w:rsid w:val="000E2BE7"/>
    <w:rsid w:val="000E37A1"/>
    <w:rsid w:val="000E4980"/>
    <w:rsid w:val="000E5BD1"/>
    <w:rsid w:val="000E65DC"/>
    <w:rsid w:val="000F1D58"/>
    <w:rsid w:val="000F2906"/>
    <w:rsid w:val="000F39F9"/>
    <w:rsid w:val="000F3C12"/>
    <w:rsid w:val="000F3C86"/>
    <w:rsid w:val="000F3E56"/>
    <w:rsid w:val="000F5A16"/>
    <w:rsid w:val="000F61B7"/>
    <w:rsid w:val="000F749B"/>
    <w:rsid w:val="00101577"/>
    <w:rsid w:val="00101F2C"/>
    <w:rsid w:val="00104157"/>
    <w:rsid w:val="00107CB8"/>
    <w:rsid w:val="00107ED9"/>
    <w:rsid w:val="00110772"/>
    <w:rsid w:val="001113E5"/>
    <w:rsid w:val="0011290F"/>
    <w:rsid w:val="00113E22"/>
    <w:rsid w:val="00114B21"/>
    <w:rsid w:val="00115867"/>
    <w:rsid w:val="00116CE6"/>
    <w:rsid w:val="00121314"/>
    <w:rsid w:val="00122657"/>
    <w:rsid w:val="00122B2F"/>
    <w:rsid w:val="00122D13"/>
    <w:rsid w:val="00127E05"/>
    <w:rsid w:val="00127FD6"/>
    <w:rsid w:val="0013032A"/>
    <w:rsid w:val="00130387"/>
    <w:rsid w:val="00130F34"/>
    <w:rsid w:val="001311A3"/>
    <w:rsid w:val="001311BE"/>
    <w:rsid w:val="00131E5D"/>
    <w:rsid w:val="0013201A"/>
    <w:rsid w:val="00132838"/>
    <w:rsid w:val="00133840"/>
    <w:rsid w:val="00134FC3"/>
    <w:rsid w:val="0013526B"/>
    <w:rsid w:val="00135623"/>
    <w:rsid w:val="00137587"/>
    <w:rsid w:val="00142743"/>
    <w:rsid w:val="00145855"/>
    <w:rsid w:val="0014621B"/>
    <w:rsid w:val="001465D8"/>
    <w:rsid w:val="001476D6"/>
    <w:rsid w:val="00151FEF"/>
    <w:rsid w:val="00153EFF"/>
    <w:rsid w:val="00155717"/>
    <w:rsid w:val="001559CE"/>
    <w:rsid w:val="00155DC9"/>
    <w:rsid w:val="00155F0A"/>
    <w:rsid w:val="00156515"/>
    <w:rsid w:val="001626E6"/>
    <w:rsid w:val="00163228"/>
    <w:rsid w:val="00163A35"/>
    <w:rsid w:val="00164EA6"/>
    <w:rsid w:val="001661AD"/>
    <w:rsid w:val="00167332"/>
    <w:rsid w:val="001675CF"/>
    <w:rsid w:val="001679C0"/>
    <w:rsid w:val="0017165B"/>
    <w:rsid w:val="00171D54"/>
    <w:rsid w:val="00174BBF"/>
    <w:rsid w:val="00176C89"/>
    <w:rsid w:val="00176D7C"/>
    <w:rsid w:val="00177382"/>
    <w:rsid w:val="00180271"/>
    <w:rsid w:val="001810D5"/>
    <w:rsid w:val="00182BD8"/>
    <w:rsid w:val="001851A7"/>
    <w:rsid w:val="00185EBE"/>
    <w:rsid w:val="00190FC6"/>
    <w:rsid w:val="00192831"/>
    <w:rsid w:val="00192999"/>
    <w:rsid w:val="001953B0"/>
    <w:rsid w:val="0019540B"/>
    <w:rsid w:val="00195A1B"/>
    <w:rsid w:val="001972AA"/>
    <w:rsid w:val="00197CB6"/>
    <w:rsid w:val="001A0F24"/>
    <w:rsid w:val="001A1089"/>
    <w:rsid w:val="001A28D4"/>
    <w:rsid w:val="001A299C"/>
    <w:rsid w:val="001A4214"/>
    <w:rsid w:val="001A45DD"/>
    <w:rsid w:val="001A6D7F"/>
    <w:rsid w:val="001A776A"/>
    <w:rsid w:val="001B056A"/>
    <w:rsid w:val="001B31A4"/>
    <w:rsid w:val="001B4BF1"/>
    <w:rsid w:val="001B66C4"/>
    <w:rsid w:val="001C267C"/>
    <w:rsid w:val="001C657D"/>
    <w:rsid w:val="001D0018"/>
    <w:rsid w:val="001D0A24"/>
    <w:rsid w:val="001D1492"/>
    <w:rsid w:val="001D2154"/>
    <w:rsid w:val="001D389F"/>
    <w:rsid w:val="001D419F"/>
    <w:rsid w:val="001D694C"/>
    <w:rsid w:val="001E18C0"/>
    <w:rsid w:val="001E2BB6"/>
    <w:rsid w:val="001E3459"/>
    <w:rsid w:val="001E59F0"/>
    <w:rsid w:val="001E6474"/>
    <w:rsid w:val="001E69C5"/>
    <w:rsid w:val="001F5232"/>
    <w:rsid w:val="001F600E"/>
    <w:rsid w:val="001F6209"/>
    <w:rsid w:val="001F6EAA"/>
    <w:rsid w:val="00200B02"/>
    <w:rsid w:val="00200DEA"/>
    <w:rsid w:val="002010EC"/>
    <w:rsid w:val="002024CD"/>
    <w:rsid w:val="00202B00"/>
    <w:rsid w:val="0020344F"/>
    <w:rsid w:val="00205F5F"/>
    <w:rsid w:val="00210229"/>
    <w:rsid w:val="00212122"/>
    <w:rsid w:val="00212DF0"/>
    <w:rsid w:val="00216889"/>
    <w:rsid w:val="00220D8A"/>
    <w:rsid w:val="00221E75"/>
    <w:rsid w:val="002249B9"/>
    <w:rsid w:val="00224EAA"/>
    <w:rsid w:val="002254FA"/>
    <w:rsid w:val="00226428"/>
    <w:rsid w:val="00230258"/>
    <w:rsid w:val="0023135C"/>
    <w:rsid w:val="00232410"/>
    <w:rsid w:val="00234729"/>
    <w:rsid w:val="00234B3D"/>
    <w:rsid w:val="002355AD"/>
    <w:rsid w:val="0023677C"/>
    <w:rsid w:val="00236B29"/>
    <w:rsid w:val="002379C3"/>
    <w:rsid w:val="00242D7F"/>
    <w:rsid w:val="00242E8B"/>
    <w:rsid w:val="00243D3A"/>
    <w:rsid w:val="00244389"/>
    <w:rsid w:val="002444D7"/>
    <w:rsid w:val="00244AEA"/>
    <w:rsid w:val="002461B3"/>
    <w:rsid w:val="00246D90"/>
    <w:rsid w:val="00247A36"/>
    <w:rsid w:val="0025190C"/>
    <w:rsid w:val="00251F67"/>
    <w:rsid w:val="00251FEF"/>
    <w:rsid w:val="00253BD8"/>
    <w:rsid w:val="0025406C"/>
    <w:rsid w:val="0025427B"/>
    <w:rsid w:val="00254A44"/>
    <w:rsid w:val="002551B4"/>
    <w:rsid w:val="00257990"/>
    <w:rsid w:val="0026070B"/>
    <w:rsid w:val="00261237"/>
    <w:rsid w:val="002614BE"/>
    <w:rsid w:val="00261A35"/>
    <w:rsid w:val="00263DE9"/>
    <w:rsid w:val="0026514A"/>
    <w:rsid w:val="002679D2"/>
    <w:rsid w:val="0027004F"/>
    <w:rsid w:val="0027086A"/>
    <w:rsid w:val="002713D4"/>
    <w:rsid w:val="002716AB"/>
    <w:rsid w:val="00272962"/>
    <w:rsid w:val="00272D3F"/>
    <w:rsid w:val="002751F9"/>
    <w:rsid w:val="00276E16"/>
    <w:rsid w:val="00280F80"/>
    <w:rsid w:val="00282AFB"/>
    <w:rsid w:val="00284576"/>
    <w:rsid w:val="00285792"/>
    <w:rsid w:val="00290ABA"/>
    <w:rsid w:val="0029172D"/>
    <w:rsid w:val="00295976"/>
    <w:rsid w:val="002978D4"/>
    <w:rsid w:val="00297AA8"/>
    <w:rsid w:val="002A0BC4"/>
    <w:rsid w:val="002A0BF2"/>
    <w:rsid w:val="002A277D"/>
    <w:rsid w:val="002A2938"/>
    <w:rsid w:val="002A67A0"/>
    <w:rsid w:val="002B05BC"/>
    <w:rsid w:val="002B0B63"/>
    <w:rsid w:val="002B159B"/>
    <w:rsid w:val="002B1C53"/>
    <w:rsid w:val="002B3FF1"/>
    <w:rsid w:val="002B47BD"/>
    <w:rsid w:val="002B60FB"/>
    <w:rsid w:val="002B6FA8"/>
    <w:rsid w:val="002C1110"/>
    <w:rsid w:val="002C1A7F"/>
    <w:rsid w:val="002C2157"/>
    <w:rsid w:val="002C5663"/>
    <w:rsid w:val="002C595E"/>
    <w:rsid w:val="002C7604"/>
    <w:rsid w:val="002C7E15"/>
    <w:rsid w:val="002D09F3"/>
    <w:rsid w:val="002D283E"/>
    <w:rsid w:val="002D2F90"/>
    <w:rsid w:val="002D3ADE"/>
    <w:rsid w:val="002D3E2D"/>
    <w:rsid w:val="002D4AEF"/>
    <w:rsid w:val="002D6FCB"/>
    <w:rsid w:val="002D7BDB"/>
    <w:rsid w:val="002D7C82"/>
    <w:rsid w:val="002E17DE"/>
    <w:rsid w:val="002E18CF"/>
    <w:rsid w:val="002E2ACB"/>
    <w:rsid w:val="002E4039"/>
    <w:rsid w:val="002E529F"/>
    <w:rsid w:val="002E5CA8"/>
    <w:rsid w:val="002E64B7"/>
    <w:rsid w:val="002E7A91"/>
    <w:rsid w:val="002F05AC"/>
    <w:rsid w:val="002F096C"/>
    <w:rsid w:val="002F16AD"/>
    <w:rsid w:val="002F50D2"/>
    <w:rsid w:val="002F605B"/>
    <w:rsid w:val="002F7389"/>
    <w:rsid w:val="002F764B"/>
    <w:rsid w:val="002F7DB2"/>
    <w:rsid w:val="003009AF"/>
    <w:rsid w:val="00301DCB"/>
    <w:rsid w:val="00306B13"/>
    <w:rsid w:val="00307A64"/>
    <w:rsid w:val="00310644"/>
    <w:rsid w:val="0031290B"/>
    <w:rsid w:val="00314DFB"/>
    <w:rsid w:val="00317D80"/>
    <w:rsid w:val="00317F75"/>
    <w:rsid w:val="0032124E"/>
    <w:rsid w:val="00324388"/>
    <w:rsid w:val="00324AC1"/>
    <w:rsid w:val="00326544"/>
    <w:rsid w:val="00326836"/>
    <w:rsid w:val="003302D2"/>
    <w:rsid w:val="00331C28"/>
    <w:rsid w:val="00332387"/>
    <w:rsid w:val="00332FD0"/>
    <w:rsid w:val="003363D9"/>
    <w:rsid w:val="0033698F"/>
    <w:rsid w:val="00340351"/>
    <w:rsid w:val="00341C53"/>
    <w:rsid w:val="0034269C"/>
    <w:rsid w:val="003434AF"/>
    <w:rsid w:val="00343ECB"/>
    <w:rsid w:val="003445FA"/>
    <w:rsid w:val="003450D2"/>
    <w:rsid w:val="0034595C"/>
    <w:rsid w:val="00345C71"/>
    <w:rsid w:val="00345DF7"/>
    <w:rsid w:val="00346EA9"/>
    <w:rsid w:val="00350E97"/>
    <w:rsid w:val="003515AF"/>
    <w:rsid w:val="0035371A"/>
    <w:rsid w:val="00353C6F"/>
    <w:rsid w:val="00357683"/>
    <w:rsid w:val="0035793C"/>
    <w:rsid w:val="00357B13"/>
    <w:rsid w:val="00357E10"/>
    <w:rsid w:val="00360156"/>
    <w:rsid w:val="003601E9"/>
    <w:rsid w:val="00361BCD"/>
    <w:rsid w:val="00364319"/>
    <w:rsid w:val="0036454C"/>
    <w:rsid w:val="00364A09"/>
    <w:rsid w:val="003667F1"/>
    <w:rsid w:val="00367BDA"/>
    <w:rsid w:val="003703C0"/>
    <w:rsid w:val="00371A8A"/>
    <w:rsid w:val="003729D5"/>
    <w:rsid w:val="00373066"/>
    <w:rsid w:val="0038175F"/>
    <w:rsid w:val="003821BA"/>
    <w:rsid w:val="00382CC0"/>
    <w:rsid w:val="003832DD"/>
    <w:rsid w:val="00384370"/>
    <w:rsid w:val="0038467A"/>
    <w:rsid w:val="003859C9"/>
    <w:rsid w:val="003866E8"/>
    <w:rsid w:val="003876E9"/>
    <w:rsid w:val="00391364"/>
    <w:rsid w:val="00391879"/>
    <w:rsid w:val="0039259E"/>
    <w:rsid w:val="00392B46"/>
    <w:rsid w:val="00392C16"/>
    <w:rsid w:val="0039370F"/>
    <w:rsid w:val="0039395D"/>
    <w:rsid w:val="00394623"/>
    <w:rsid w:val="0039508C"/>
    <w:rsid w:val="00395619"/>
    <w:rsid w:val="003A001F"/>
    <w:rsid w:val="003A1BF9"/>
    <w:rsid w:val="003A39C0"/>
    <w:rsid w:val="003A3C8A"/>
    <w:rsid w:val="003A4D2C"/>
    <w:rsid w:val="003A4D55"/>
    <w:rsid w:val="003A50BA"/>
    <w:rsid w:val="003A5E64"/>
    <w:rsid w:val="003A728F"/>
    <w:rsid w:val="003B04F6"/>
    <w:rsid w:val="003B14CC"/>
    <w:rsid w:val="003B2D62"/>
    <w:rsid w:val="003B446E"/>
    <w:rsid w:val="003B5AB9"/>
    <w:rsid w:val="003B5BC6"/>
    <w:rsid w:val="003C0256"/>
    <w:rsid w:val="003C07A2"/>
    <w:rsid w:val="003C2566"/>
    <w:rsid w:val="003C2D9D"/>
    <w:rsid w:val="003C34E5"/>
    <w:rsid w:val="003C45C9"/>
    <w:rsid w:val="003C4FE4"/>
    <w:rsid w:val="003C51DC"/>
    <w:rsid w:val="003C5578"/>
    <w:rsid w:val="003C5C8A"/>
    <w:rsid w:val="003C698F"/>
    <w:rsid w:val="003C7616"/>
    <w:rsid w:val="003C7AAE"/>
    <w:rsid w:val="003D0485"/>
    <w:rsid w:val="003D2533"/>
    <w:rsid w:val="003D2828"/>
    <w:rsid w:val="003D3B04"/>
    <w:rsid w:val="003D5694"/>
    <w:rsid w:val="003D5F0A"/>
    <w:rsid w:val="003D6E20"/>
    <w:rsid w:val="003D7D96"/>
    <w:rsid w:val="003E024A"/>
    <w:rsid w:val="003E0D26"/>
    <w:rsid w:val="003E16E4"/>
    <w:rsid w:val="003E2962"/>
    <w:rsid w:val="003E4FF5"/>
    <w:rsid w:val="003E674A"/>
    <w:rsid w:val="003E70AF"/>
    <w:rsid w:val="003E7223"/>
    <w:rsid w:val="003F0A9B"/>
    <w:rsid w:val="003F10B4"/>
    <w:rsid w:val="003F2629"/>
    <w:rsid w:val="003F29F6"/>
    <w:rsid w:val="003F663B"/>
    <w:rsid w:val="003F67B4"/>
    <w:rsid w:val="003F6BC0"/>
    <w:rsid w:val="003F6DB8"/>
    <w:rsid w:val="003F7439"/>
    <w:rsid w:val="00400081"/>
    <w:rsid w:val="00400145"/>
    <w:rsid w:val="00400FB1"/>
    <w:rsid w:val="00401537"/>
    <w:rsid w:val="00401A29"/>
    <w:rsid w:val="00402C2B"/>
    <w:rsid w:val="00402EF8"/>
    <w:rsid w:val="00403FFF"/>
    <w:rsid w:val="00404268"/>
    <w:rsid w:val="00404FD0"/>
    <w:rsid w:val="00405D90"/>
    <w:rsid w:val="0040654E"/>
    <w:rsid w:val="00410457"/>
    <w:rsid w:val="004106CF"/>
    <w:rsid w:val="00410C8B"/>
    <w:rsid w:val="00411AD2"/>
    <w:rsid w:val="00413630"/>
    <w:rsid w:val="00416477"/>
    <w:rsid w:val="00421135"/>
    <w:rsid w:val="00421FD6"/>
    <w:rsid w:val="0042465F"/>
    <w:rsid w:val="00424EEB"/>
    <w:rsid w:val="0042521A"/>
    <w:rsid w:val="00425C04"/>
    <w:rsid w:val="004277B5"/>
    <w:rsid w:val="00430418"/>
    <w:rsid w:val="00430BD1"/>
    <w:rsid w:val="00432141"/>
    <w:rsid w:val="0043496C"/>
    <w:rsid w:val="00434B2A"/>
    <w:rsid w:val="00434F7C"/>
    <w:rsid w:val="00435AB4"/>
    <w:rsid w:val="00436845"/>
    <w:rsid w:val="00437102"/>
    <w:rsid w:val="00437F1E"/>
    <w:rsid w:val="00440A3E"/>
    <w:rsid w:val="00445659"/>
    <w:rsid w:val="00446F07"/>
    <w:rsid w:val="00447E16"/>
    <w:rsid w:val="00450A33"/>
    <w:rsid w:val="00450D59"/>
    <w:rsid w:val="004521BB"/>
    <w:rsid w:val="004543D1"/>
    <w:rsid w:val="00454B57"/>
    <w:rsid w:val="00454E9E"/>
    <w:rsid w:val="00455DC0"/>
    <w:rsid w:val="00456FB1"/>
    <w:rsid w:val="00457537"/>
    <w:rsid w:val="00462606"/>
    <w:rsid w:val="004640AA"/>
    <w:rsid w:val="00465609"/>
    <w:rsid w:val="004666E3"/>
    <w:rsid w:val="00467C1F"/>
    <w:rsid w:val="00471B56"/>
    <w:rsid w:val="00472771"/>
    <w:rsid w:val="004730A9"/>
    <w:rsid w:val="00480FC0"/>
    <w:rsid w:val="004814A2"/>
    <w:rsid w:val="0048169D"/>
    <w:rsid w:val="00481CC3"/>
    <w:rsid w:val="00482074"/>
    <w:rsid w:val="0048213C"/>
    <w:rsid w:val="00484076"/>
    <w:rsid w:val="00484F8B"/>
    <w:rsid w:val="004869E8"/>
    <w:rsid w:val="004928BE"/>
    <w:rsid w:val="00493D4B"/>
    <w:rsid w:val="00494AEC"/>
    <w:rsid w:val="0049520B"/>
    <w:rsid w:val="0049564B"/>
    <w:rsid w:val="00495914"/>
    <w:rsid w:val="0049736D"/>
    <w:rsid w:val="004A0246"/>
    <w:rsid w:val="004A3CAF"/>
    <w:rsid w:val="004A4EC1"/>
    <w:rsid w:val="004A4EF7"/>
    <w:rsid w:val="004A71D1"/>
    <w:rsid w:val="004A7E8C"/>
    <w:rsid w:val="004A7F15"/>
    <w:rsid w:val="004B07B7"/>
    <w:rsid w:val="004B1FEE"/>
    <w:rsid w:val="004B2BC8"/>
    <w:rsid w:val="004B37AD"/>
    <w:rsid w:val="004B3965"/>
    <w:rsid w:val="004B5B86"/>
    <w:rsid w:val="004C0356"/>
    <w:rsid w:val="004C0862"/>
    <w:rsid w:val="004C0CD2"/>
    <w:rsid w:val="004C1035"/>
    <w:rsid w:val="004C2577"/>
    <w:rsid w:val="004C4794"/>
    <w:rsid w:val="004C7A29"/>
    <w:rsid w:val="004D46AF"/>
    <w:rsid w:val="004D695D"/>
    <w:rsid w:val="004D6C29"/>
    <w:rsid w:val="004D6D41"/>
    <w:rsid w:val="004D790C"/>
    <w:rsid w:val="004D7BF3"/>
    <w:rsid w:val="004D7C6B"/>
    <w:rsid w:val="004E00FD"/>
    <w:rsid w:val="004E2726"/>
    <w:rsid w:val="004E39E7"/>
    <w:rsid w:val="004E43EF"/>
    <w:rsid w:val="004E50AA"/>
    <w:rsid w:val="004F17CD"/>
    <w:rsid w:val="004F2205"/>
    <w:rsid w:val="004F2D52"/>
    <w:rsid w:val="004F3550"/>
    <w:rsid w:val="004F515B"/>
    <w:rsid w:val="004F6846"/>
    <w:rsid w:val="004F70F9"/>
    <w:rsid w:val="004F7C30"/>
    <w:rsid w:val="005008EB"/>
    <w:rsid w:val="00501135"/>
    <w:rsid w:val="00502CF1"/>
    <w:rsid w:val="005031DF"/>
    <w:rsid w:val="00503872"/>
    <w:rsid w:val="00505277"/>
    <w:rsid w:val="00507065"/>
    <w:rsid w:val="0051026E"/>
    <w:rsid w:val="005106AE"/>
    <w:rsid w:val="00510C9E"/>
    <w:rsid w:val="00512167"/>
    <w:rsid w:val="00513B0A"/>
    <w:rsid w:val="005158AF"/>
    <w:rsid w:val="00515915"/>
    <w:rsid w:val="00515F2E"/>
    <w:rsid w:val="005163FD"/>
    <w:rsid w:val="0052044C"/>
    <w:rsid w:val="0052231D"/>
    <w:rsid w:val="00522580"/>
    <w:rsid w:val="00522CAD"/>
    <w:rsid w:val="00523350"/>
    <w:rsid w:val="005242B9"/>
    <w:rsid w:val="00524E08"/>
    <w:rsid w:val="005253E7"/>
    <w:rsid w:val="0052597E"/>
    <w:rsid w:val="0052781B"/>
    <w:rsid w:val="00531685"/>
    <w:rsid w:val="00531BAE"/>
    <w:rsid w:val="0053317E"/>
    <w:rsid w:val="005334CD"/>
    <w:rsid w:val="00535CDA"/>
    <w:rsid w:val="00536F33"/>
    <w:rsid w:val="0054184E"/>
    <w:rsid w:val="00542BC0"/>
    <w:rsid w:val="00543D0D"/>
    <w:rsid w:val="00543FB9"/>
    <w:rsid w:val="005444BA"/>
    <w:rsid w:val="00545361"/>
    <w:rsid w:val="005467D5"/>
    <w:rsid w:val="005469BB"/>
    <w:rsid w:val="005555B4"/>
    <w:rsid w:val="00556289"/>
    <w:rsid w:val="00556325"/>
    <w:rsid w:val="00561439"/>
    <w:rsid w:val="00561C96"/>
    <w:rsid w:val="0056554D"/>
    <w:rsid w:val="0056633F"/>
    <w:rsid w:val="005677D2"/>
    <w:rsid w:val="00567FBF"/>
    <w:rsid w:val="00570532"/>
    <w:rsid w:val="0057184E"/>
    <w:rsid w:val="00571BB7"/>
    <w:rsid w:val="005724C7"/>
    <w:rsid w:val="005733F4"/>
    <w:rsid w:val="00573A93"/>
    <w:rsid w:val="005744AB"/>
    <w:rsid w:val="00577598"/>
    <w:rsid w:val="00577A19"/>
    <w:rsid w:val="00577C73"/>
    <w:rsid w:val="00581B40"/>
    <w:rsid w:val="00583776"/>
    <w:rsid w:val="00584679"/>
    <w:rsid w:val="00584BE7"/>
    <w:rsid w:val="005855BF"/>
    <w:rsid w:val="00585EB1"/>
    <w:rsid w:val="00586E23"/>
    <w:rsid w:val="00587026"/>
    <w:rsid w:val="00590472"/>
    <w:rsid w:val="00591FD2"/>
    <w:rsid w:val="00592EBF"/>
    <w:rsid w:val="00593F36"/>
    <w:rsid w:val="0059449A"/>
    <w:rsid w:val="00596596"/>
    <w:rsid w:val="0059708D"/>
    <w:rsid w:val="005973D1"/>
    <w:rsid w:val="00597D09"/>
    <w:rsid w:val="005A075B"/>
    <w:rsid w:val="005A3BDE"/>
    <w:rsid w:val="005A3EBE"/>
    <w:rsid w:val="005A3F15"/>
    <w:rsid w:val="005A549E"/>
    <w:rsid w:val="005A5DFB"/>
    <w:rsid w:val="005B123C"/>
    <w:rsid w:val="005B1297"/>
    <w:rsid w:val="005B19E7"/>
    <w:rsid w:val="005B2A00"/>
    <w:rsid w:val="005B35E3"/>
    <w:rsid w:val="005B59C3"/>
    <w:rsid w:val="005B5FB9"/>
    <w:rsid w:val="005C08D7"/>
    <w:rsid w:val="005C1E96"/>
    <w:rsid w:val="005C31CF"/>
    <w:rsid w:val="005C36FE"/>
    <w:rsid w:val="005C53AE"/>
    <w:rsid w:val="005C6E03"/>
    <w:rsid w:val="005D116E"/>
    <w:rsid w:val="005D181B"/>
    <w:rsid w:val="005D30A0"/>
    <w:rsid w:val="005D3196"/>
    <w:rsid w:val="005D459E"/>
    <w:rsid w:val="005D56E5"/>
    <w:rsid w:val="005E014F"/>
    <w:rsid w:val="005E19A2"/>
    <w:rsid w:val="005E201A"/>
    <w:rsid w:val="005E2348"/>
    <w:rsid w:val="005E4759"/>
    <w:rsid w:val="005E4FC0"/>
    <w:rsid w:val="005E596D"/>
    <w:rsid w:val="005E5CEA"/>
    <w:rsid w:val="005E7345"/>
    <w:rsid w:val="005E742C"/>
    <w:rsid w:val="005E789C"/>
    <w:rsid w:val="005E79BD"/>
    <w:rsid w:val="005F0179"/>
    <w:rsid w:val="005F09B0"/>
    <w:rsid w:val="005F0D0F"/>
    <w:rsid w:val="005F210E"/>
    <w:rsid w:val="005F360D"/>
    <w:rsid w:val="005F36A7"/>
    <w:rsid w:val="005F3BCB"/>
    <w:rsid w:val="005F40C3"/>
    <w:rsid w:val="005F456B"/>
    <w:rsid w:val="005F6B15"/>
    <w:rsid w:val="005F6E9A"/>
    <w:rsid w:val="005F706C"/>
    <w:rsid w:val="005F7523"/>
    <w:rsid w:val="005F7CF8"/>
    <w:rsid w:val="005F7F55"/>
    <w:rsid w:val="006030DE"/>
    <w:rsid w:val="00603CF2"/>
    <w:rsid w:val="006042F2"/>
    <w:rsid w:val="00605491"/>
    <w:rsid w:val="006058B6"/>
    <w:rsid w:val="00605CBB"/>
    <w:rsid w:val="00607587"/>
    <w:rsid w:val="00607DB0"/>
    <w:rsid w:val="00611D94"/>
    <w:rsid w:val="00611DDC"/>
    <w:rsid w:val="006133CB"/>
    <w:rsid w:val="006140FB"/>
    <w:rsid w:val="0061473D"/>
    <w:rsid w:val="00617CAD"/>
    <w:rsid w:val="00617DB4"/>
    <w:rsid w:val="006223C7"/>
    <w:rsid w:val="0062358C"/>
    <w:rsid w:val="006255EC"/>
    <w:rsid w:val="00626146"/>
    <w:rsid w:val="00626725"/>
    <w:rsid w:val="006267CD"/>
    <w:rsid w:val="0062698F"/>
    <w:rsid w:val="00627F63"/>
    <w:rsid w:val="00631060"/>
    <w:rsid w:val="00631CF5"/>
    <w:rsid w:val="00632861"/>
    <w:rsid w:val="0063312D"/>
    <w:rsid w:val="006342F2"/>
    <w:rsid w:val="00634C0F"/>
    <w:rsid w:val="00634EE7"/>
    <w:rsid w:val="0063573F"/>
    <w:rsid w:val="0063634B"/>
    <w:rsid w:val="006363DD"/>
    <w:rsid w:val="006365DC"/>
    <w:rsid w:val="00637952"/>
    <w:rsid w:val="00637C63"/>
    <w:rsid w:val="00640900"/>
    <w:rsid w:val="006441D3"/>
    <w:rsid w:val="00644A77"/>
    <w:rsid w:val="00646447"/>
    <w:rsid w:val="00651136"/>
    <w:rsid w:val="00652561"/>
    <w:rsid w:val="00652CAC"/>
    <w:rsid w:val="00653D30"/>
    <w:rsid w:val="00655A40"/>
    <w:rsid w:val="00655CB2"/>
    <w:rsid w:val="006566FA"/>
    <w:rsid w:val="0066035B"/>
    <w:rsid w:val="006610BB"/>
    <w:rsid w:val="006616B1"/>
    <w:rsid w:val="006632BF"/>
    <w:rsid w:val="006644AE"/>
    <w:rsid w:val="00666245"/>
    <w:rsid w:val="00673EE4"/>
    <w:rsid w:val="00675B69"/>
    <w:rsid w:val="00675C03"/>
    <w:rsid w:val="00680E4D"/>
    <w:rsid w:val="0068164F"/>
    <w:rsid w:val="0068169F"/>
    <w:rsid w:val="00681C86"/>
    <w:rsid w:val="0068208D"/>
    <w:rsid w:val="006832BC"/>
    <w:rsid w:val="00683C08"/>
    <w:rsid w:val="00684985"/>
    <w:rsid w:val="00684E69"/>
    <w:rsid w:val="00685AE8"/>
    <w:rsid w:val="006860A3"/>
    <w:rsid w:val="00686845"/>
    <w:rsid w:val="00687D98"/>
    <w:rsid w:val="0069068D"/>
    <w:rsid w:val="00690D7A"/>
    <w:rsid w:val="00692765"/>
    <w:rsid w:val="00692A5E"/>
    <w:rsid w:val="00692E5B"/>
    <w:rsid w:val="00695689"/>
    <w:rsid w:val="006960C6"/>
    <w:rsid w:val="006964C9"/>
    <w:rsid w:val="00696589"/>
    <w:rsid w:val="00697041"/>
    <w:rsid w:val="006A1776"/>
    <w:rsid w:val="006A32C5"/>
    <w:rsid w:val="006A50C7"/>
    <w:rsid w:val="006A524C"/>
    <w:rsid w:val="006A5269"/>
    <w:rsid w:val="006A6633"/>
    <w:rsid w:val="006A6697"/>
    <w:rsid w:val="006A70AE"/>
    <w:rsid w:val="006B2FC3"/>
    <w:rsid w:val="006B2FE0"/>
    <w:rsid w:val="006B3C60"/>
    <w:rsid w:val="006B5077"/>
    <w:rsid w:val="006B7916"/>
    <w:rsid w:val="006C1E80"/>
    <w:rsid w:val="006C3622"/>
    <w:rsid w:val="006C3934"/>
    <w:rsid w:val="006C4050"/>
    <w:rsid w:val="006C482D"/>
    <w:rsid w:val="006C5098"/>
    <w:rsid w:val="006C60A3"/>
    <w:rsid w:val="006C7A41"/>
    <w:rsid w:val="006D0D20"/>
    <w:rsid w:val="006D1E2C"/>
    <w:rsid w:val="006D2F08"/>
    <w:rsid w:val="006D5406"/>
    <w:rsid w:val="006D6904"/>
    <w:rsid w:val="006D799A"/>
    <w:rsid w:val="006E1FD6"/>
    <w:rsid w:val="006E2F50"/>
    <w:rsid w:val="006E4937"/>
    <w:rsid w:val="006E5005"/>
    <w:rsid w:val="006E7541"/>
    <w:rsid w:val="006E798B"/>
    <w:rsid w:val="006F254D"/>
    <w:rsid w:val="006F39E7"/>
    <w:rsid w:val="006F52A4"/>
    <w:rsid w:val="006F5A2D"/>
    <w:rsid w:val="006F7320"/>
    <w:rsid w:val="006F7C69"/>
    <w:rsid w:val="006F7E43"/>
    <w:rsid w:val="0070055C"/>
    <w:rsid w:val="00707B6D"/>
    <w:rsid w:val="00710550"/>
    <w:rsid w:val="0071144B"/>
    <w:rsid w:val="00711850"/>
    <w:rsid w:val="00712606"/>
    <w:rsid w:val="0071354E"/>
    <w:rsid w:val="00713CC2"/>
    <w:rsid w:val="007143A9"/>
    <w:rsid w:val="00715C41"/>
    <w:rsid w:val="007161BA"/>
    <w:rsid w:val="00720227"/>
    <w:rsid w:val="00721FDA"/>
    <w:rsid w:val="00725533"/>
    <w:rsid w:val="007255B7"/>
    <w:rsid w:val="00726001"/>
    <w:rsid w:val="0072614F"/>
    <w:rsid w:val="00726964"/>
    <w:rsid w:val="00727A1F"/>
    <w:rsid w:val="00727A76"/>
    <w:rsid w:val="00730E56"/>
    <w:rsid w:val="00732057"/>
    <w:rsid w:val="00735368"/>
    <w:rsid w:val="00735942"/>
    <w:rsid w:val="00736374"/>
    <w:rsid w:val="007408CF"/>
    <w:rsid w:val="00741E86"/>
    <w:rsid w:val="00743DCE"/>
    <w:rsid w:val="00745370"/>
    <w:rsid w:val="0074674D"/>
    <w:rsid w:val="00747412"/>
    <w:rsid w:val="00750886"/>
    <w:rsid w:val="00751172"/>
    <w:rsid w:val="00751C3B"/>
    <w:rsid w:val="00751FEC"/>
    <w:rsid w:val="007538AC"/>
    <w:rsid w:val="00753D01"/>
    <w:rsid w:val="007546D3"/>
    <w:rsid w:val="007552F8"/>
    <w:rsid w:val="00756E26"/>
    <w:rsid w:val="00756FAF"/>
    <w:rsid w:val="007615AB"/>
    <w:rsid w:val="00761C31"/>
    <w:rsid w:val="00765C00"/>
    <w:rsid w:val="0076733F"/>
    <w:rsid w:val="0077000F"/>
    <w:rsid w:val="007702B7"/>
    <w:rsid w:val="00771C2D"/>
    <w:rsid w:val="00771C6A"/>
    <w:rsid w:val="007751BC"/>
    <w:rsid w:val="007806F0"/>
    <w:rsid w:val="00782EE3"/>
    <w:rsid w:val="00783FEB"/>
    <w:rsid w:val="007846D5"/>
    <w:rsid w:val="00784D99"/>
    <w:rsid w:val="00787B22"/>
    <w:rsid w:val="00790F89"/>
    <w:rsid w:val="007914AE"/>
    <w:rsid w:val="00791783"/>
    <w:rsid w:val="007922E1"/>
    <w:rsid w:val="007927A6"/>
    <w:rsid w:val="00792842"/>
    <w:rsid w:val="00793283"/>
    <w:rsid w:val="007933B9"/>
    <w:rsid w:val="00793F9E"/>
    <w:rsid w:val="00794227"/>
    <w:rsid w:val="00794801"/>
    <w:rsid w:val="00795F38"/>
    <w:rsid w:val="007A2866"/>
    <w:rsid w:val="007A38C5"/>
    <w:rsid w:val="007A42BD"/>
    <w:rsid w:val="007A4492"/>
    <w:rsid w:val="007A4B78"/>
    <w:rsid w:val="007A4FDF"/>
    <w:rsid w:val="007A5332"/>
    <w:rsid w:val="007A675C"/>
    <w:rsid w:val="007A7821"/>
    <w:rsid w:val="007B1930"/>
    <w:rsid w:val="007B1C12"/>
    <w:rsid w:val="007B2F0C"/>
    <w:rsid w:val="007B2F73"/>
    <w:rsid w:val="007B326B"/>
    <w:rsid w:val="007B3C1B"/>
    <w:rsid w:val="007B4303"/>
    <w:rsid w:val="007B4D2C"/>
    <w:rsid w:val="007B4FA9"/>
    <w:rsid w:val="007B505F"/>
    <w:rsid w:val="007B57E9"/>
    <w:rsid w:val="007B632F"/>
    <w:rsid w:val="007B6F85"/>
    <w:rsid w:val="007C0029"/>
    <w:rsid w:val="007C1FDD"/>
    <w:rsid w:val="007C2664"/>
    <w:rsid w:val="007C33E6"/>
    <w:rsid w:val="007C3E20"/>
    <w:rsid w:val="007C4E1C"/>
    <w:rsid w:val="007C503C"/>
    <w:rsid w:val="007C5208"/>
    <w:rsid w:val="007C5FF4"/>
    <w:rsid w:val="007C63CC"/>
    <w:rsid w:val="007C7167"/>
    <w:rsid w:val="007C791E"/>
    <w:rsid w:val="007D039B"/>
    <w:rsid w:val="007D18C8"/>
    <w:rsid w:val="007D19FF"/>
    <w:rsid w:val="007D2960"/>
    <w:rsid w:val="007D36B1"/>
    <w:rsid w:val="007D3725"/>
    <w:rsid w:val="007E0347"/>
    <w:rsid w:val="007E07F7"/>
    <w:rsid w:val="007E30C2"/>
    <w:rsid w:val="007E6475"/>
    <w:rsid w:val="007E7B2B"/>
    <w:rsid w:val="007F0322"/>
    <w:rsid w:val="007F1781"/>
    <w:rsid w:val="007F19B8"/>
    <w:rsid w:val="007F2C49"/>
    <w:rsid w:val="007F2DE8"/>
    <w:rsid w:val="007F2FA9"/>
    <w:rsid w:val="007F3549"/>
    <w:rsid w:val="007F6265"/>
    <w:rsid w:val="00804F1A"/>
    <w:rsid w:val="00806162"/>
    <w:rsid w:val="008063C1"/>
    <w:rsid w:val="008066A6"/>
    <w:rsid w:val="0080733C"/>
    <w:rsid w:val="008076EB"/>
    <w:rsid w:val="008118B2"/>
    <w:rsid w:val="008143AD"/>
    <w:rsid w:val="00814499"/>
    <w:rsid w:val="00815053"/>
    <w:rsid w:val="00816FC1"/>
    <w:rsid w:val="00820D6D"/>
    <w:rsid w:val="008216BB"/>
    <w:rsid w:val="00823518"/>
    <w:rsid w:val="00823535"/>
    <w:rsid w:val="00824454"/>
    <w:rsid w:val="008310BE"/>
    <w:rsid w:val="00831B3F"/>
    <w:rsid w:val="00831B4E"/>
    <w:rsid w:val="0083296C"/>
    <w:rsid w:val="00832A19"/>
    <w:rsid w:val="00832F70"/>
    <w:rsid w:val="008332BD"/>
    <w:rsid w:val="008357EF"/>
    <w:rsid w:val="00835A2D"/>
    <w:rsid w:val="00835A52"/>
    <w:rsid w:val="00835B11"/>
    <w:rsid w:val="00836465"/>
    <w:rsid w:val="00837129"/>
    <w:rsid w:val="008403F7"/>
    <w:rsid w:val="0084086B"/>
    <w:rsid w:val="00840DFE"/>
    <w:rsid w:val="00842563"/>
    <w:rsid w:val="00842AC2"/>
    <w:rsid w:val="0084318B"/>
    <w:rsid w:val="00845525"/>
    <w:rsid w:val="00845F61"/>
    <w:rsid w:val="008460AA"/>
    <w:rsid w:val="008510FF"/>
    <w:rsid w:val="008543B5"/>
    <w:rsid w:val="008562A0"/>
    <w:rsid w:val="008609DC"/>
    <w:rsid w:val="008638C7"/>
    <w:rsid w:val="00864176"/>
    <w:rsid w:val="00867D0A"/>
    <w:rsid w:val="00867D28"/>
    <w:rsid w:val="0087027F"/>
    <w:rsid w:val="00871FC5"/>
    <w:rsid w:val="00872B34"/>
    <w:rsid w:val="00874102"/>
    <w:rsid w:val="008744ED"/>
    <w:rsid w:val="00875F87"/>
    <w:rsid w:val="008763B1"/>
    <w:rsid w:val="008769BC"/>
    <w:rsid w:val="008774A8"/>
    <w:rsid w:val="00880117"/>
    <w:rsid w:val="00881395"/>
    <w:rsid w:val="00881BC9"/>
    <w:rsid w:val="00882964"/>
    <w:rsid w:val="00882987"/>
    <w:rsid w:val="00883405"/>
    <w:rsid w:val="00884451"/>
    <w:rsid w:val="00884A89"/>
    <w:rsid w:val="008873BA"/>
    <w:rsid w:val="0088749A"/>
    <w:rsid w:val="0088774F"/>
    <w:rsid w:val="0088795E"/>
    <w:rsid w:val="00890D98"/>
    <w:rsid w:val="0089173B"/>
    <w:rsid w:val="008920D5"/>
    <w:rsid w:val="00892ECE"/>
    <w:rsid w:val="00894BA8"/>
    <w:rsid w:val="0089648F"/>
    <w:rsid w:val="00896E7B"/>
    <w:rsid w:val="00897514"/>
    <w:rsid w:val="00897B1C"/>
    <w:rsid w:val="008A167B"/>
    <w:rsid w:val="008A1927"/>
    <w:rsid w:val="008A1DDB"/>
    <w:rsid w:val="008A1F95"/>
    <w:rsid w:val="008A20DD"/>
    <w:rsid w:val="008A2303"/>
    <w:rsid w:val="008A3614"/>
    <w:rsid w:val="008A6614"/>
    <w:rsid w:val="008A6F42"/>
    <w:rsid w:val="008A7345"/>
    <w:rsid w:val="008B0E53"/>
    <w:rsid w:val="008B4383"/>
    <w:rsid w:val="008B52AC"/>
    <w:rsid w:val="008B7398"/>
    <w:rsid w:val="008B7AE5"/>
    <w:rsid w:val="008C0002"/>
    <w:rsid w:val="008C1DF2"/>
    <w:rsid w:val="008C1F0C"/>
    <w:rsid w:val="008C2061"/>
    <w:rsid w:val="008C2D94"/>
    <w:rsid w:val="008C41AA"/>
    <w:rsid w:val="008C5676"/>
    <w:rsid w:val="008D162F"/>
    <w:rsid w:val="008D1F2F"/>
    <w:rsid w:val="008D2B4F"/>
    <w:rsid w:val="008D5895"/>
    <w:rsid w:val="008D671B"/>
    <w:rsid w:val="008D6975"/>
    <w:rsid w:val="008D6BCB"/>
    <w:rsid w:val="008E0091"/>
    <w:rsid w:val="008E1CF6"/>
    <w:rsid w:val="008E1F36"/>
    <w:rsid w:val="008E2248"/>
    <w:rsid w:val="008E3CDA"/>
    <w:rsid w:val="008E4D83"/>
    <w:rsid w:val="008E553F"/>
    <w:rsid w:val="008E5E9E"/>
    <w:rsid w:val="008E7385"/>
    <w:rsid w:val="008F06CF"/>
    <w:rsid w:val="008F2AF9"/>
    <w:rsid w:val="008F3ABE"/>
    <w:rsid w:val="008F3D62"/>
    <w:rsid w:val="008F5982"/>
    <w:rsid w:val="008F5BA6"/>
    <w:rsid w:val="008F5FC8"/>
    <w:rsid w:val="00900ED8"/>
    <w:rsid w:val="009016A9"/>
    <w:rsid w:val="00904118"/>
    <w:rsid w:val="009041BF"/>
    <w:rsid w:val="0090551F"/>
    <w:rsid w:val="00907B82"/>
    <w:rsid w:val="009114F1"/>
    <w:rsid w:val="0091296C"/>
    <w:rsid w:val="009145B4"/>
    <w:rsid w:val="00915C88"/>
    <w:rsid w:val="00917848"/>
    <w:rsid w:val="009204AC"/>
    <w:rsid w:val="009210BB"/>
    <w:rsid w:val="00921C7E"/>
    <w:rsid w:val="00921F53"/>
    <w:rsid w:val="0092475C"/>
    <w:rsid w:val="0092629B"/>
    <w:rsid w:val="0092658A"/>
    <w:rsid w:val="00926ABD"/>
    <w:rsid w:val="00927639"/>
    <w:rsid w:val="00931393"/>
    <w:rsid w:val="00933E03"/>
    <w:rsid w:val="00934BDF"/>
    <w:rsid w:val="009376EA"/>
    <w:rsid w:val="00937C4C"/>
    <w:rsid w:val="00940D87"/>
    <w:rsid w:val="0094197E"/>
    <w:rsid w:val="00950900"/>
    <w:rsid w:val="00950ED3"/>
    <w:rsid w:val="00952B04"/>
    <w:rsid w:val="00952B9B"/>
    <w:rsid w:val="009533E0"/>
    <w:rsid w:val="00953730"/>
    <w:rsid w:val="0095549A"/>
    <w:rsid w:val="00955AC1"/>
    <w:rsid w:val="00956F62"/>
    <w:rsid w:val="00957322"/>
    <w:rsid w:val="00960638"/>
    <w:rsid w:val="009611A4"/>
    <w:rsid w:val="00961291"/>
    <w:rsid w:val="009614E8"/>
    <w:rsid w:val="00962ADB"/>
    <w:rsid w:val="009636FA"/>
    <w:rsid w:val="0096458B"/>
    <w:rsid w:val="00964781"/>
    <w:rsid w:val="009649A3"/>
    <w:rsid w:val="00970165"/>
    <w:rsid w:val="00970590"/>
    <w:rsid w:val="00970825"/>
    <w:rsid w:val="00971B53"/>
    <w:rsid w:val="009750E5"/>
    <w:rsid w:val="00975FC1"/>
    <w:rsid w:val="009768B9"/>
    <w:rsid w:val="009769A2"/>
    <w:rsid w:val="0098171A"/>
    <w:rsid w:val="009837A8"/>
    <w:rsid w:val="009838E6"/>
    <w:rsid w:val="00983BAC"/>
    <w:rsid w:val="00986514"/>
    <w:rsid w:val="009909B7"/>
    <w:rsid w:val="00991AF8"/>
    <w:rsid w:val="0099282C"/>
    <w:rsid w:val="0099397D"/>
    <w:rsid w:val="00994F50"/>
    <w:rsid w:val="00995D4E"/>
    <w:rsid w:val="009965F4"/>
    <w:rsid w:val="009979E1"/>
    <w:rsid w:val="00997BE0"/>
    <w:rsid w:val="009A32E0"/>
    <w:rsid w:val="009A3672"/>
    <w:rsid w:val="009A39DE"/>
    <w:rsid w:val="009A647B"/>
    <w:rsid w:val="009A7D6E"/>
    <w:rsid w:val="009A7DB9"/>
    <w:rsid w:val="009B3293"/>
    <w:rsid w:val="009B49C1"/>
    <w:rsid w:val="009B5DB9"/>
    <w:rsid w:val="009B673F"/>
    <w:rsid w:val="009B6A7E"/>
    <w:rsid w:val="009B7541"/>
    <w:rsid w:val="009C105B"/>
    <w:rsid w:val="009C19C5"/>
    <w:rsid w:val="009C2AA3"/>
    <w:rsid w:val="009C3B15"/>
    <w:rsid w:val="009C462A"/>
    <w:rsid w:val="009C4F03"/>
    <w:rsid w:val="009C5776"/>
    <w:rsid w:val="009D0B2B"/>
    <w:rsid w:val="009D1E3A"/>
    <w:rsid w:val="009D25A8"/>
    <w:rsid w:val="009D2DBB"/>
    <w:rsid w:val="009D68C4"/>
    <w:rsid w:val="009D72F2"/>
    <w:rsid w:val="009D7B54"/>
    <w:rsid w:val="009E047D"/>
    <w:rsid w:val="009E12B2"/>
    <w:rsid w:val="009E2784"/>
    <w:rsid w:val="009E479C"/>
    <w:rsid w:val="009E718E"/>
    <w:rsid w:val="009E7386"/>
    <w:rsid w:val="009E7A40"/>
    <w:rsid w:val="009F2864"/>
    <w:rsid w:val="009F33E8"/>
    <w:rsid w:val="009F34A7"/>
    <w:rsid w:val="009F4C18"/>
    <w:rsid w:val="009F51B5"/>
    <w:rsid w:val="009F6397"/>
    <w:rsid w:val="009F718F"/>
    <w:rsid w:val="009F7B9C"/>
    <w:rsid w:val="00A05A2B"/>
    <w:rsid w:val="00A064DD"/>
    <w:rsid w:val="00A0662E"/>
    <w:rsid w:val="00A0775E"/>
    <w:rsid w:val="00A14345"/>
    <w:rsid w:val="00A17EFE"/>
    <w:rsid w:val="00A2012D"/>
    <w:rsid w:val="00A2285D"/>
    <w:rsid w:val="00A22DE6"/>
    <w:rsid w:val="00A22E40"/>
    <w:rsid w:val="00A27A4B"/>
    <w:rsid w:val="00A3054E"/>
    <w:rsid w:val="00A30618"/>
    <w:rsid w:val="00A30916"/>
    <w:rsid w:val="00A30AE2"/>
    <w:rsid w:val="00A30F58"/>
    <w:rsid w:val="00A32A70"/>
    <w:rsid w:val="00A33448"/>
    <w:rsid w:val="00A33EEA"/>
    <w:rsid w:val="00A34597"/>
    <w:rsid w:val="00A346EC"/>
    <w:rsid w:val="00A367DB"/>
    <w:rsid w:val="00A37F49"/>
    <w:rsid w:val="00A40855"/>
    <w:rsid w:val="00A41E49"/>
    <w:rsid w:val="00A457C3"/>
    <w:rsid w:val="00A47DBF"/>
    <w:rsid w:val="00A5102C"/>
    <w:rsid w:val="00A5167F"/>
    <w:rsid w:val="00A5220C"/>
    <w:rsid w:val="00A528AD"/>
    <w:rsid w:val="00A53D23"/>
    <w:rsid w:val="00A55094"/>
    <w:rsid w:val="00A55CD8"/>
    <w:rsid w:val="00A57059"/>
    <w:rsid w:val="00A612DA"/>
    <w:rsid w:val="00A61A85"/>
    <w:rsid w:val="00A61F97"/>
    <w:rsid w:val="00A61FA9"/>
    <w:rsid w:val="00A62B2F"/>
    <w:rsid w:val="00A62FC9"/>
    <w:rsid w:val="00A63B9B"/>
    <w:rsid w:val="00A63D98"/>
    <w:rsid w:val="00A63F4A"/>
    <w:rsid w:val="00A65191"/>
    <w:rsid w:val="00A6543D"/>
    <w:rsid w:val="00A70109"/>
    <w:rsid w:val="00A701DE"/>
    <w:rsid w:val="00A73064"/>
    <w:rsid w:val="00A737C9"/>
    <w:rsid w:val="00A73DDD"/>
    <w:rsid w:val="00A743BF"/>
    <w:rsid w:val="00A74E7D"/>
    <w:rsid w:val="00A74FAB"/>
    <w:rsid w:val="00A750C0"/>
    <w:rsid w:val="00A75635"/>
    <w:rsid w:val="00A82B69"/>
    <w:rsid w:val="00A83D58"/>
    <w:rsid w:val="00A84EBC"/>
    <w:rsid w:val="00A90267"/>
    <w:rsid w:val="00A92CEA"/>
    <w:rsid w:val="00A955D4"/>
    <w:rsid w:val="00A965F3"/>
    <w:rsid w:val="00A96754"/>
    <w:rsid w:val="00AA0501"/>
    <w:rsid w:val="00AA08D0"/>
    <w:rsid w:val="00AA1D5F"/>
    <w:rsid w:val="00AA4DAD"/>
    <w:rsid w:val="00AA51A4"/>
    <w:rsid w:val="00AA742B"/>
    <w:rsid w:val="00AA77B4"/>
    <w:rsid w:val="00AB1AD4"/>
    <w:rsid w:val="00AB1BF6"/>
    <w:rsid w:val="00AB20A8"/>
    <w:rsid w:val="00AB286A"/>
    <w:rsid w:val="00AB2BA9"/>
    <w:rsid w:val="00AB3310"/>
    <w:rsid w:val="00AB33E1"/>
    <w:rsid w:val="00AB3472"/>
    <w:rsid w:val="00AB39D2"/>
    <w:rsid w:val="00AB5BF8"/>
    <w:rsid w:val="00AB5D25"/>
    <w:rsid w:val="00AB6B22"/>
    <w:rsid w:val="00AB6C26"/>
    <w:rsid w:val="00AC027D"/>
    <w:rsid w:val="00AC0617"/>
    <w:rsid w:val="00AC1EF8"/>
    <w:rsid w:val="00AC4183"/>
    <w:rsid w:val="00AC47D4"/>
    <w:rsid w:val="00AC5B7D"/>
    <w:rsid w:val="00AC5B82"/>
    <w:rsid w:val="00AC6C7C"/>
    <w:rsid w:val="00AD0104"/>
    <w:rsid w:val="00AD0600"/>
    <w:rsid w:val="00AD07E9"/>
    <w:rsid w:val="00AD3CF7"/>
    <w:rsid w:val="00AD4305"/>
    <w:rsid w:val="00AD51F0"/>
    <w:rsid w:val="00AE02C1"/>
    <w:rsid w:val="00AE0BAF"/>
    <w:rsid w:val="00AE0D01"/>
    <w:rsid w:val="00AE3D4C"/>
    <w:rsid w:val="00AE46B8"/>
    <w:rsid w:val="00AE56C7"/>
    <w:rsid w:val="00AE67F4"/>
    <w:rsid w:val="00AE6BE4"/>
    <w:rsid w:val="00AE7858"/>
    <w:rsid w:val="00AE7EC2"/>
    <w:rsid w:val="00AF02C6"/>
    <w:rsid w:val="00AF058C"/>
    <w:rsid w:val="00AF0D32"/>
    <w:rsid w:val="00AF23D5"/>
    <w:rsid w:val="00AF35C6"/>
    <w:rsid w:val="00AF399B"/>
    <w:rsid w:val="00AF3EE9"/>
    <w:rsid w:val="00AF6414"/>
    <w:rsid w:val="00AF642C"/>
    <w:rsid w:val="00AF7D6E"/>
    <w:rsid w:val="00B03627"/>
    <w:rsid w:val="00B0511A"/>
    <w:rsid w:val="00B06C01"/>
    <w:rsid w:val="00B0739D"/>
    <w:rsid w:val="00B07A1E"/>
    <w:rsid w:val="00B1158A"/>
    <w:rsid w:val="00B11D00"/>
    <w:rsid w:val="00B139C0"/>
    <w:rsid w:val="00B15086"/>
    <w:rsid w:val="00B15B3B"/>
    <w:rsid w:val="00B1688F"/>
    <w:rsid w:val="00B20917"/>
    <w:rsid w:val="00B219E4"/>
    <w:rsid w:val="00B22972"/>
    <w:rsid w:val="00B22C41"/>
    <w:rsid w:val="00B22F40"/>
    <w:rsid w:val="00B23998"/>
    <w:rsid w:val="00B23CC3"/>
    <w:rsid w:val="00B24AD1"/>
    <w:rsid w:val="00B261E5"/>
    <w:rsid w:val="00B262BB"/>
    <w:rsid w:val="00B26BA0"/>
    <w:rsid w:val="00B27FD4"/>
    <w:rsid w:val="00B34048"/>
    <w:rsid w:val="00B3583B"/>
    <w:rsid w:val="00B35AE0"/>
    <w:rsid w:val="00B36798"/>
    <w:rsid w:val="00B36AB8"/>
    <w:rsid w:val="00B36F87"/>
    <w:rsid w:val="00B37C74"/>
    <w:rsid w:val="00B41905"/>
    <w:rsid w:val="00B4409F"/>
    <w:rsid w:val="00B4685E"/>
    <w:rsid w:val="00B46A0C"/>
    <w:rsid w:val="00B500CE"/>
    <w:rsid w:val="00B514CA"/>
    <w:rsid w:val="00B51719"/>
    <w:rsid w:val="00B53690"/>
    <w:rsid w:val="00B5678F"/>
    <w:rsid w:val="00B570EC"/>
    <w:rsid w:val="00B57603"/>
    <w:rsid w:val="00B604F0"/>
    <w:rsid w:val="00B60A3C"/>
    <w:rsid w:val="00B61971"/>
    <w:rsid w:val="00B620F4"/>
    <w:rsid w:val="00B62C00"/>
    <w:rsid w:val="00B65315"/>
    <w:rsid w:val="00B67D96"/>
    <w:rsid w:val="00B720D7"/>
    <w:rsid w:val="00B738A2"/>
    <w:rsid w:val="00B73A2A"/>
    <w:rsid w:val="00B73C74"/>
    <w:rsid w:val="00B74DFC"/>
    <w:rsid w:val="00B764AB"/>
    <w:rsid w:val="00B82171"/>
    <w:rsid w:val="00B833A4"/>
    <w:rsid w:val="00B8552D"/>
    <w:rsid w:val="00B85962"/>
    <w:rsid w:val="00B869D0"/>
    <w:rsid w:val="00B877B4"/>
    <w:rsid w:val="00B87DDF"/>
    <w:rsid w:val="00B9068B"/>
    <w:rsid w:val="00B939C5"/>
    <w:rsid w:val="00B94B1E"/>
    <w:rsid w:val="00B94CE1"/>
    <w:rsid w:val="00B9613E"/>
    <w:rsid w:val="00B967DF"/>
    <w:rsid w:val="00B96DB1"/>
    <w:rsid w:val="00B976BB"/>
    <w:rsid w:val="00BA0103"/>
    <w:rsid w:val="00BA0116"/>
    <w:rsid w:val="00BA2C30"/>
    <w:rsid w:val="00BA3284"/>
    <w:rsid w:val="00BA38AD"/>
    <w:rsid w:val="00BA4202"/>
    <w:rsid w:val="00BA45BB"/>
    <w:rsid w:val="00BA4E29"/>
    <w:rsid w:val="00BA4FB2"/>
    <w:rsid w:val="00BA51DE"/>
    <w:rsid w:val="00BA7A60"/>
    <w:rsid w:val="00BB083F"/>
    <w:rsid w:val="00BB1113"/>
    <w:rsid w:val="00BB37B5"/>
    <w:rsid w:val="00BB37E7"/>
    <w:rsid w:val="00BB558F"/>
    <w:rsid w:val="00BB7B0A"/>
    <w:rsid w:val="00BC3100"/>
    <w:rsid w:val="00BC33AE"/>
    <w:rsid w:val="00BC3827"/>
    <w:rsid w:val="00BC46AA"/>
    <w:rsid w:val="00BC6ECD"/>
    <w:rsid w:val="00BD3630"/>
    <w:rsid w:val="00BD501F"/>
    <w:rsid w:val="00BD58EA"/>
    <w:rsid w:val="00BD5C06"/>
    <w:rsid w:val="00BD602C"/>
    <w:rsid w:val="00BD735B"/>
    <w:rsid w:val="00BD79B5"/>
    <w:rsid w:val="00BE0E11"/>
    <w:rsid w:val="00BE3CBC"/>
    <w:rsid w:val="00BE418B"/>
    <w:rsid w:val="00BE4F7A"/>
    <w:rsid w:val="00BE5E38"/>
    <w:rsid w:val="00BE6289"/>
    <w:rsid w:val="00BF0E65"/>
    <w:rsid w:val="00BF1080"/>
    <w:rsid w:val="00BF2A24"/>
    <w:rsid w:val="00BF2C2A"/>
    <w:rsid w:val="00BF35BF"/>
    <w:rsid w:val="00BF3863"/>
    <w:rsid w:val="00BF3DD6"/>
    <w:rsid w:val="00BF609B"/>
    <w:rsid w:val="00BF7A53"/>
    <w:rsid w:val="00BF7FE1"/>
    <w:rsid w:val="00C00CC2"/>
    <w:rsid w:val="00C01C1F"/>
    <w:rsid w:val="00C02518"/>
    <w:rsid w:val="00C05007"/>
    <w:rsid w:val="00C059CD"/>
    <w:rsid w:val="00C05C84"/>
    <w:rsid w:val="00C06626"/>
    <w:rsid w:val="00C06A80"/>
    <w:rsid w:val="00C116D5"/>
    <w:rsid w:val="00C12FC7"/>
    <w:rsid w:val="00C13F2F"/>
    <w:rsid w:val="00C15321"/>
    <w:rsid w:val="00C20789"/>
    <w:rsid w:val="00C20D5F"/>
    <w:rsid w:val="00C22DFF"/>
    <w:rsid w:val="00C239DD"/>
    <w:rsid w:val="00C25368"/>
    <w:rsid w:val="00C2696A"/>
    <w:rsid w:val="00C26CC8"/>
    <w:rsid w:val="00C26F14"/>
    <w:rsid w:val="00C276CC"/>
    <w:rsid w:val="00C27C77"/>
    <w:rsid w:val="00C306F5"/>
    <w:rsid w:val="00C30AB5"/>
    <w:rsid w:val="00C332ED"/>
    <w:rsid w:val="00C342D7"/>
    <w:rsid w:val="00C34F62"/>
    <w:rsid w:val="00C3505D"/>
    <w:rsid w:val="00C35121"/>
    <w:rsid w:val="00C36A7D"/>
    <w:rsid w:val="00C40533"/>
    <w:rsid w:val="00C41B6F"/>
    <w:rsid w:val="00C41F96"/>
    <w:rsid w:val="00C42D85"/>
    <w:rsid w:val="00C43949"/>
    <w:rsid w:val="00C447AA"/>
    <w:rsid w:val="00C45351"/>
    <w:rsid w:val="00C47691"/>
    <w:rsid w:val="00C5579E"/>
    <w:rsid w:val="00C61D3D"/>
    <w:rsid w:val="00C632FA"/>
    <w:rsid w:val="00C6337F"/>
    <w:rsid w:val="00C6578B"/>
    <w:rsid w:val="00C66140"/>
    <w:rsid w:val="00C66D5A"/>
    <w:rsid w:val="00C67A60"/>
    <w:rsid w:val="00C70AFC"/>
    <w:rsid w:val="00C71272"/>
    <w:rsid w:val="00C728A4"/>
    <w:rsid w:val="00C72DCF"/>
    <w:rsid w:val="00C73DAA"/>
    <w:rsid w:val="00C7550C"/>
    <w:rsid w:val="00C76076"/>
    <w:rsid w:val="00C77B02"/>
    <w:rsid w:val="00C8020A"/>
    <w:rsid w:val="00C82907"/>
    <w:rsid w:val="00C82F5E"/>
    <w:rsid w:val="00C8493D"/>
    <w:rsid w:val="00C84D6A"/>
    <w:rsid w:val="00C859A2"/>
    <w:rsid w:val="00C8708E"/>
    <w:rsid w:val="00C87ABD"/>
    <w:rsid w:val="00C87C08"/>
    <w:rsid w:val="00C92F46"/>
    <w:rsid w:val="00C93BAD"/>
    <w:rsid w:val="00C96572"/>
    <w:rsid w:val="00CA151C"/>
    <w:rsid w:val="00CA1D3A"/>
    <w:rsid w:val="00CA2F8B"/>
    <w:rsid w:val="00CA35E8"/>
    <w:rsid w:val="00CA3E95"/>
    <w:rsid w:val="00CA4483"/>
    <w:rsid w:val="00CA45C4"/>
    <w:rsid w:val="00CB113A"/>
    <w:rsid w:val="00CB1567"/>
    <w:rsid w:val="00CB40D8"/>
    <w:rsid w:val="00CB55E1"/>
    <w:rsid w:val="00CC022D"/>
    <w:rsid w:val="00CC136C"/>
    <w:rsid w:val="00CC1E5F"/>
    <w:rsid w:val="00CC2210"/>
    <w:rsid w:val="00CC2844"/>
    <w:rsid w:val="00CC410A"/>
    <w:rsid w:val="00CC43A4"/>
    <w:rsid w:val="00CC71ED"/>
    <w:rsid w:val="00CC728C"/>
    <w:rsid w:val="00CC7851"/>
    <w:rsid w:val="00CD04EE"/>
    <w:rsid w:val="00CD087E"/>
    <w:rsid w:val="00CD1266"/>
    <w:rsid w:val="00CD12E5"/>
    <w:rsid w:val="00CD133C"/>
    <w:rsid w:val="00CD2142"/>
    <w:rsid w:val="00CD3236"/>
    <w:rsid w:val="00CE264A"/>
    <w:rsid w:val="00CE2D2D"/>
    <w:rsid w:val="00CE36F5"/>
    <w:rsid w:val="00CE3AF5"/>
    <w:rsid w:val="00CE474C"/>
    <w:rsid w:val="00CE717C"/>
    <w:rsid w:val="00CE7CB9"/>
    <w:rsid w:val="00CF1868"/>
    <w:rsid w:val="00CF1ED9"/>
    <w:rsid w:val="00CF1F76"/>
    <w:rsid w:val="00CF38DE"/>
    <w:rsid w:val="00CF4835"/>
    <w:rsid w:val="00CF5E29"/>
    <w:rsid w:val="00CF6D7A"/>
    <w:rsid w:val="00D0150C"/>
    <w:rsid w:val="00D01650"/>
    <w:rsid w:val="00D017FC"/>
    <w:rsid w:val="00D020DD"/>
    <w:rsid w:val="00D036B7"/>
    <w:rsid w:val="00D0583A"/>
    <w:rsid w:val="00D071BF"/>
    <w:rsid w:val="00D10A09"/>
    <w:rsid w:val="00D10DB1"/>
    <w:rsid w:val="00D12D18"/>
    <w:rsid w:val="00D13317"/>
    <w:rsid w:val="00D13EA2"/>
    <w:rsid w:val="00D153AA"/>
    <w:rsid w:val="00D172BF"/>
    <w:rsid w:val="00D20857"/>
    <w:rsid w:val="00D21AD7"/>
    <w:rsid w:val="00D21B77"/>
    <w:rsid w:val="00D21DC1"/>
    <w:rsid w:val="00D22784"/>
    <w:rsid w:val="00D233DE"/>
    <w:rsid w:val="00D2417E"/>
    <w:rsid w:val="00D25391"/>
    <w:rsid w:val="00D27D59"/>
    <w:rsid w:val="00D3284E"/>
    <w:rsid w:val="00D3350B"/>
    <w:rsid w:val="00D343DA"/>
    <w:rsid w:val="00D353F5"/>
    <w:rsid w:val="00D37C3B"/>
    <w:rsid w:val="00D40934"/>
    <w:rsid w:val="00D40FF9"/>
    <w:rsid w:val="00D4162F"/>
    <w:rsid w:val="00D41A8F"/>
    <w:rsid w:val="00D41ADC"/>
    <w:rsid w:val="00D42AF4"/>
    <w:rsid w:val="00D44593"/>
    <w:rsid w:val="00D44795"/>
    <w:rsid w:val="00D45479"/>
    <w:rsid w:val="00D53C82"/>
    <w:rsid w:val="00D55E8B"/>
    <w:rsid w:val="00D56447"/>
    <w:rsid w:val="00D6215B"/>
    <w:rsid w:val="00D62480"/>
    <w:rsid w:val="00D62BCC"/>
    <w:rsid w:val="00D62D48"/>
    <w:rsid w:val="00D64AEC"/>
    <w:rsid w:val="00D64D84"/>
    <w:rsid w:val="00D652D3"/>
    <w:rsid w:val="00D65514"/>
    <w:rsid w:val="00D65A9B"/>
    <w:rsid w:val="00D6678D"/>
    <w:rsid w:val="00D707B1"/>
    <w:rsid w:val="00D7136B"/>
    <w:rsid w:val="00D713D5"/>
    <w:rsid w:val="00D731B4"/>
    <w:rsid w:val="00D7431E"/>
    <w:rsid w:val="00D7522F"/>
    <w:rsid w:val="00D75D5E"/>
    <w:rsid w:val="00D760BC"/>
    <w:rsid w:val="00D761DA"/>
    <w:rsid w:val="00D76945"/>
    <w:rsid w:val="00D7792B"/>
    <w:rsid w:val="00D81291"/>
    <w:rsid w:val="00D817E3"/>
    <w:rsid w:val="00D836AB"/>
    <w:rsid w:val="00D85B95"/>
    <w:rsid w:val="00D874CB"/>
    <w:rsid w:val="00D87665"/>
    <w:rsid w:val="00D9132E"/>
    <w:rsid w:val="00D91392"/>
    <w:rsid w:val="00D927D2"/>
    <w:rsid w:val="00D92875"/>
    <w:rsid w:val="00D944E6"/>
    <w:rsid w:val="00D945EF"/>
    <w:rsid w:val="00D963A6"/>
    <w:rsid w:val="00D97883"/>
    <w:rsid w:val="00DA1206"/>
    <w:rsid w:val="00DA173C"/>
    <w:rsid w:val="00DA175C"/>
    <w:rsid w:val="00DA34F4"/>
    <w:rsid w:val="00DA3EA3"/>
    <w:rsid w:val="00DA4970"/>
    <w:rsid w:val="00DA7021"/>
    <w:rsid w:val="00DB01A0"/>
    <w:rsid w:val="00DB2CCE"/>
    <w:rsid w:val="00DB36BC"/>
    <w:rsid w:val="00DB3EC5"/>
    <w:rsid w:val="00DB5B31"/>
    <w:rsid w:val="00DB5CEB"/>
    <w:rsid w:val="00DC1480"/>
    <w:rsid w:val="00DC148F"/>
    <w:rsid w:val="00DC168B"/>
    <w:rsid w:val="00DC1F5C"/>
    <w:rsid w:val="00DC21FD"/>
    <w:rsid w:val="00DC2372"/>
    <w:rsid w:val="00DC2E5F"/>
    <w:rsid w:val="00DC3144"/>
    <w:rsid w:val="00DC4B8B"/>
    <w:rsid w:val="00DC602C"/>
    <w:rsid w:val="00DC6138"/>
    <w:rsid w:val="00DD0135"/>
    <w:rsid w:val="00DD2F28"/>
    <w:rsid w:val="00DD375D"/>
    <w:rsid w:val="00DD4523"/>
    <w:rsid w:val="00DD4A17"/>
    <w:rsid w:val="00DD5DEF"/>
    <w:rsid w:val="00DD75DE"/>
    <w:rsid w:val="00DD7C4F"/>
    <w:rsid w:val="00DD7F57"/>
    <w:rsid w:val="00DE2B65"/>
    <w:rsid w:val="00DE2F45"/>
    <w:rsid w:val="00DE3180"/>
    <w:rsid w:val="00DE632C"/>
    <w:rsid w:val="00DE7827"/>
    <w:rsid w:val="00DF101C"/>
    <w:rsid w:val="00DF1A3F"/>
    <w:rsid w:val="00DF2FF6"/>
    <w:rsid w:val="00DF673D"/>
    <w:rsid w:val="00DF6F96"/>
    <w:rsid w:val="00DF758C"/>
    <w:rsid w:val="00DF7A4F"/>
    <w:rsid w:val="00DF7E4F"/>
    <w:rsid w:val="00E003EA"/>
    <w:rsid w:val="00E01743"/>
    <w:rsid w:val="00E018FC"/>
    <w:rsid w:val="00E02CBC"/>
    <w:rsid w:val="00E02F38"/>
    <w:rsid w:val="00E03E58"/>
    <w:rsid w:val="00E102B8"/>
    <w:rsid w:val="00E12AE9"/>
    <w:rsid w:val="00E131FD"/>
    <w:rsid w:val="00E13B5A"/>
    <w:rsid w:val="00E149EF"/>
    <w:rsid w:val="00E173A7"/>
    <w:rsid w:val="00E1774E"/>
    <w:rsid w:val="00E177D5"/>
    <w:rsid w:val="00E1787D"/>
    <w:rsid w:val="00E20A5B"/>
    <w:rsid w:val="00E21D65"/>
    <w:rsid w:val="00E240A3"/>
    <w:rsid w:val="00E25794"/>
    <w:rsid w:val="00E279D6"/>
    <w:rsid w:val="00E31225"/>
    <w:rsid w:val="00E3304B"/>
    <w:rsid w:val="00E33327"/>
    <w:rsid w:val="00E33587"/>
    <w:rsid w:val="00E348D5"/>
    <w:rsid w:val="00E357BA"/>
    <w:rsid w:val="00E357BD"/>
    <w:rsid w:val="00E4015D"/>
    <w:rsid w:val="00E4102C"/>
    <w:rsid w:val="00E411D0"/>
    <w:rsid w:val="00E414B6"/>
    <w:rsid w:val="00E43320"/>
    <w:rsid w:val="00E43B2B"/>
    <w:rsid w:val="00E44864"/>
    <w:rsid w:val="00E45FD5"/>
    <w:rsid w:val="00E4611D"/>
    <w:rsid w:val="00E472D3"/>
    <w:rsid w:val="00E50874"/>
    <w:rsid w:val="00E51463"/>
    <w:rsid w:val="00E521FE"/>
    <w:rsid w:val="00E53671"/>
    <w:rsid w:val="00E543C9"/>
    <w:rsid w:val="00E54A36"/>
    <w:rsid w:val="00E55889"/>
    <w:rsid w:val="00E55C49"/>
    <w:rsid w:val="00E609B8"/>
    <w:rsid w:val="00E62FEB"/>
    <w:rsid w:val="00E63216"/>
    <w:rsid w:val="00E643D4"/>
    <w:rsid w:val="00E645AF"/>
    <w:rsid w:val="00E65159"/>
    <w:rsid w:val="00E65F10"/>
    <w:rsid w:val="00E6790B"/>
    <w:rsid w:val="00E709AC"/>
    <w:rsid w:val="00E711CE"/>
    <w:rsid w:val="00E71D09"/>
    <w:rsid w:val="00E73DBF"/>
    <w:rsid w:val="00E846FA"/>
    <w:rsid w:val="00E8505B"/>
    <w:rsid w:val="00E8674F"/>
    <w:rsid w:val="00E87FBE"/>
    <w:rsid w:val="00E90326"/>
    <w:rsid w:val="00E903C6"/>
    <w:rsid w:val="00E906EA"/>
    <w:rsid w:val="00E92CA6"/>
    <w:rsid w:val="00E930C4"/>
    <w:rsid w:val="00E939D4"/>
    <w:rsid w:val="00E94EA0"/>
    <w:rsid w:val="00E96802"/>
    <w:rsid w:val="00E970A1"/>
    <w:rsid w:val="00EA020B"/>
    <w:rsid w:val="00EA3E4E"/>
    <w:rsid w:val="00EA42EE"/>
    <w:rsid w:val="00EA5B2C"/>
    <w:rsid w:val="00EA7C90"/>
    <w:rsid w:val="00EB0A48"/>
    <w:rsid w:val="00EB1539"/>
    <w:rsid w:val="00EB3A38"/>
    <w:rsid w:val="00EB4030"/>
    <w:rsid w:val="00EB471C"/>
    <w:rsid w:val="00EB762F"/>
    <w:rsid w:val="00EC36BB"/>
    <w:rsid w:val="00EC543B"/>
    <w:rsid w:val="00EC5E1C"/>
    <w:rsid w:val="00EC75F3"/>
    <w:rsid w:val="00EC771A"/>
    <w:rsid w:val="00EC7B48"/>
    <w:rsid w:val="00EC7C9D"/>
    <w:rsid w:val="00ED0E13"/>
    <w:rsid w:val="00ED15C1"/>
    <w:rsid w:val="00ED1763"/>
    <w:rsid w:val="00ED239B"/>
    <w:rsid w:val="00ED3264"/>
    <w:rsid w:val="00ED3824"/>
    <w:rsid w:val="00ED3D77"/>
    <w:rsid w:val="00ED4284"/>
    <w:rsid w:val="00ED6065"/>
    <w:rsid w:val="00EE011A"/>
    <w:rsid w:val="00EE096B"/>
    <w:rsid w:val="00EE0BC1"/>
    <w:rsid w:val="00EE1068"/>
    <w:rsid w:val="00EE142C"/>
    <w:rsid w:val="00EE2E9A"/>
    <w:rsid w:val="00EE3493"/>
    <w:rsid w:val="00EE3E74"/>
    <w:rsid w:val="00EE414D"/>
    <w:rsid w:val="00EE4CEF"/>
    <w:rsid w:val="00EE5C04"/>
    <w:rsid w:val="00EF00CA"/>
    <w:rsid w:val="00EF075E"/>
    <w:rsid w:val="00EF0FF2"/>
    <w:rsid w:val="00EF14F7"/>
    <w:rsid w:val="00EF1CB0"/>
    <w:rsid w:val="00EF1F97"/>
    <w:rsid w:val="00EF26FC"/>
    <w:rsid w:val="00EF3E4B"/>
    <w:rsid w:val="00EF5071"/>
    <w:rsid w:val="00EF59D2"/>
    <w:rsid w:val="00EF6564"/>
    <w:rsid w:val="00F00236"/>
    <w:rsid w:val="00F01488"/>
    <w:rsid w:val="00F02266"/>
    <w:rsid w:val="00F0261D"/>
    <w:rsid w:val="00F02C61"/>
    <w:rsid w:val="00F03A71"/>
    <w:rsid w:val="00F04588"/>
    <w:rsid w:val="00F04CEB"/>
    <w:rsid w:val="00F06457"/>
    <w:rsid w:val="00F06FFB"/>
    <w:rsid w:val="00F10999"/>
    <w:rsid w:val="00F10F04"/>
    <w:rsid w:val="00F11634"/>
    <w:rsid w:val="00F132DC"/>
    <w:rsid w:val="00F14D4D"/>
    <w:rsid w:val="00F14E10"/>
    <w:rsid w:val="00F1590C"/>
    <w:rsid w:val="00F15A0C"/>
    <w:rsid w:val="00F1691F"/>
    <w:rsid w:val="00F17082"/>
    <w:rsid w:val="00F17443"/>
    <w:rsid w:val="00F20378"/>
    <w:rsid w:val="00F207B5"/>
    <w:rsid w:val="00F2322C"/>
    <w:rsid w:val="00F23A57"/>
    <w:rsid w:val="00F249A9"/>
    <w:rsid w:val="00F26CD5"/>
    <w:rsid w:val="00F27A9C"/>
    <w:rsid w:val="00F301E0"/>
    <w:rsid w:val="00F30812"/>
    <w:rsid w:val="00F32E83"/>
    <w:rsid w:val="00F339CA"/>
    <w:rsid w:val="00F33DAB"/>
    <w:rsid w:val="00F34EE2"/>
    <w:rsid w:val="00F42944"/>
    <w:rsid w:val="00F42D40"/>
    <w:rsid w:val="00F42E0E"/>
    <w:rsid w:val="00F46E71"/>
    <w:rsid w:val="00F50AB3"/>
    <w:rsid w:val="00F50EE6"/>
    <w:rsid w:val="00F51C8E"/>
    <w:rsid w:val="00F52FA8"/>
    <w:rsid w:val="00F5330D"/>
    <w:rsid w:val="00F5431C"/>
    <w:rsid w:val="00F55B2B"/>
    <w:rsid w:val="00F5634D"/>
    <w:rsid w:val="00F56922"/>
    <w:rsid w:val="00F57D10"/>
    <w:rsid w:val="00F60159"/>
    <w:rsid w:val="00F627AC"/>
    <w:rsid w:val="00F63561"/>
    <w:rsid w:val="00F6427D"/>
    <w:rsid w:val="00F65B60"/>
    <w:rsid w:val="00F66E70"/>
    <w:rsid w:val="00F70117"/>
    <w:rsid w:val="00F70F5E"/>
    <w:rsid w:val="00F72C8F"/>
    <w:rsid w:val="00F73847"/>
    <w:rsid w:val="00F7462A"/>
    <w:rsid w:val="00F74D57"/>
    <w:rsid w:val="00F753F0"/>
    <w:rsid w:val="00F758EE"/>
    <w:rsid w:val="00F76027"/>
    <w:rsid w:val="00F7623D"/>
    <w:rsid w:val="00F8010C"/>
    <w:rsid w:val="00F823FD"/>
    <w:rsid w:val="00F82F12"/>
    <w:rsid w:val="00F868F6"/>
    <w:rsid w:val="00F86A90"/>
    <w:rsid w:val="00F87EB9"/>
    <w:rsid w:val="00F92967"/>
    <w:rsid w:val="00F93233"/>
    <w:rsid w:val="00F973D2"/>
    <w:rsid w:val="00FA3FC6"/>
    <w:rsid w:val="00FA4695"/>
    <w:rsid w:val="00FA5BF0"/>
    <w:rsid w:val="00FA6F3F"/>
    <w:rsid w:val="00FA7524"/>
    <w:rsid w:val="00FA7E73"/>
    <w:rsid w:val="00FB0C0F"/>
    <w:rsid w:val="00FB1C36"/>
    <w:rsid w:val="00FB56D3"/>
    <w:rsid w:val="00FB694E"/>
    <w:rsid w:val="00FB745C"/>
    <w:rsid w:val="00FC017E"/>
    <w:rsid w:val="00FC0BEC"/>
    <w:rsid w:val="00FC2CC5"/>
    <w:rsid w:val="00FC44AC"/>
    <w:rsid w:val="00FC4C14"/>
    <w:rsid w:val="00FC4F01"/>
    <w:rsid w:val="00FC5775"/>
    <w:rsid w:val="00FC5B1F"/>
    <w:rsid w:val="00FC6C46"/>
    <w:rsid w:val="00FC77AC"/>
    <w:rsid w:val="00FC782B"/>
    <w:rsid w:val="00FD0A37"/>
    <w:rsid w:val="00FD281D"/>
    <w:rsid w:val="00FD2ADE"/>
    <w:rsid w:val="00FD31D7"/>
    <w:rsid w:val="00FD6737"/>
    <w:rsid w:val="00FD7174"/>
    <w:rsid w:val="00FD7232"/>
    <w:rsid w:val="00FD7DAD"/>
    <w:rsid w:val="00FE18EB"/>
    <w:rsid w:val="00FE2693"/>
    <w:rsid w:val="00FE5AF8"/>
    <w:rsid w:val="00FE6785"/>
    <w:rsid w:val="00FF45DB"/>
    <w:rsid w:val="00FF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7B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F207B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  <w:lang w:val="es-ES" w:eastAsia="en-US"/>
    </w:rPr>
  </w:style>
  <w:style w:type="paragraph" w:styleId="Ttulo2">
    <w:name w:val="heading 2"/>
    <w:basedOn w:val="Normal"/>
    <w:next w:val="Normal"/>
    <w:link w:val="Ttulo2Car1"/>
    <w:qFormat/>
    <w:rsid w:val="00F207B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8"/>
      <w:lang w:val="es-ES" w:eastAsia="en-US"/>
    </w:rPr>
  </w:style>
  <w:style w:type="paragraph" w:styleId="Ttulo3">
    <w:name w:val="heading 3"/>
    <w:basedOn w:val="Normal"/>
    <w:next w:val="Normal"/>
    <w:link w:val="Ttulo3Car"/>
    <w:qFormat/>
    <w:rsid w:val="00F207B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  <w:szCs w:val="26"/>
      <w:lang w:val="es-ES" w:eastAsia="en-US"/>
    </w:rPr>
  </w:style>
  <w:style w:type="paragraph" w:styleId="Ttulo4">
    <w:name w:val="heading 4"/>
    <w:basedOn w:val="Normal"/>
    <w:next w:val="Normal"/>
    <w:link w:val="Ttulo4Car"/>
    <w:qFormat/>
    <w:rsid w:val="00F207B5"/>
    <w:pPr>
      <w:keepNext/>
      <w:numPr>
        <w:ilvl w:val="3"/>
        <w:numId w:val="1"/>
      </w:numPr>
      <w:jc w:val="both"/>
      <w:outlineLvl w:val="3"/>
    </w:pPr>
    <w:rPr>
      <w:rFonts w:ascii="Arial Narrow" w:hAnsi="Arial Narrow" w:cs="Arial Narrow"/>
      <w:i/>
      <w:iCs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qFormat/>
    <w:rsid w:val="00F207B5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es-MX"/>
    </w:rPr>
  </w:style>
  <w:style w:type="paragraph" w:styleId="Ttulo6">
    <w:name w:val="heading 6"/>
    <w:basedOn w:val="Normal"/>
    <w:next w:val="Normal"/>
    <w:link w:val="Ttulo6Car"/>
    <w:qFormat/>
    <w:rsid w:val="00F207B5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  <w:szCs w:val="22"/>
      <w:lang w:eastAsia="es-MX"/>
    </w:rPr>
  </w:style>
  <w:style w:type="paragraph" w:styleId="Ttulo7">
    <w:name w:val="heading 7"/>
    <w:basedOn w:val="Normal"/>
    <w:next w:val="Normal"/>
    <w:link w:val="Ttulo7Car"/>
    <w:qFormat/>
    <w:rsid w:val="00F207B5"/>
    <w:pPr>
      <w:numPr>
        <w:ilvl w:val="6"/>
        <w:numId w:val="1"/>
      </w:numPr>
      <w:spacing w:before="240" w:after="60"/>
      <w:outlineLvl w:val="6"/>
    </w:pPr>
    <w:rPr>
      <w:rFonts w:eastAsia="Times New Roman"/>
      <w:lang w:eastAsia="es-MX"/>
    </w:rPr>
  </w:style>
  <w:style w:type="paragraph" w:styleId="Ttulo8">
    <w:name w:val="heading 8"/>
    <w:basedOn w:val="Normal"/>
    <w:next w:val="Normal"/>
    <w:link w:val="Ttulo8Car"/>
    <w:qFormat/>
    <w:rsid w:val="00F207B5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lang w:val="es-ES" w:eastAsia="en-US"/>
    </w:rPr>
  </w:style>
  <w:style w:type="paragraph" w:styleId="Ttulo9">
    <w:name w:val="heading 9"/>
    <w:basedOn w:val="Normal"/>
    <w:next w:val="Normal"/>
    <w:link w:val="Ttulo9Car"/>
    <w:qFormat/>
    <w:rsid w:val="00F207B5"/>
    <w:pPr>
      <w:keepNext/>
      <w:widowControl w:val="0"/>
      <w:numPr>
        <w:ilvl w:val="8"/>
        <w:numId w:val="1"/>
      </w:numPr>
      <w:autoSpaceDE w:val="0"/>
      <w:autoSpaceDN w:val="0"/>
      <w:jc w:val="center"/>
      <w:outlineLvl w:val="8"/>
    </w:pPr>
    <w:rPr>
      <w:rFonts w:ascii="Arial" w:eastAsia="Times New Roman" w:hAnsi="Arial" w:cs="Arial"/>
      <w:b/>
      <w:b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207B5"/>
    <w:rPr>
      <w:rFonts w:ascii="Arial" w:eastAsia="SimSun" w:hAnsi="Arial" w:cs="Times New Roman"/>
      <w:b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uiPriority w:val="9"/>
    <w:semiHidden/>
    <w:rsid w:val="00F20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"/>
    <w:rsid w:val="00F207B5"/>
    <w:rPr>
      <w:rFonts w:ascii="Arial" w:eastAsia="SimSun" w:hAnsi="Arial" w:cs="Times New Roman"/>
      <w:b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rsid w:val="00F207B5"/>
    <w:rPr>
      <w:rFonts w:ascii="Arial Narrow" w:eastAsia="SimSun" w:hAnsi="Arial Narrow" w:cs="Arial Narrow"/>
      <w:i/>
      <w:iCs/>
      <w:lang w:val="es-ES"/>
    </w:rPr>
  </w:style>
  <w:style w:type="character" w:customStyle="1" w:styleId="Ttulo5Car">
    <w:name w:val="Título 5 Car"/>
    <w:basedOn w:val="Fuentedeprrafopredeter"/>
    <w:link w:val="Ttulo5"/>
    <w:rsid w:val="00F207B5"/>
    <w:rPr>
      <w:rFonts w:ascii="Times New Roman" w:eastAsia="Times New Roman" w:hAnsi="Times New Roman" w:cs="Times New Roman"/>
      <w:b/>
      <w:bCs/>
      <w:i/>
      <w:iCs/>
      <w:sz w:val="26"/>
      <w:szCs w:val="26"/>
      <w:lang w:eastAsia="es-MX"/>
    </w:rPr>
  </w:style>
  <w:style w:type="character" w:customStyle="1" w:styleId="Ttulo6Car">
    <w:name w:val="Título 6 Car"/>
    <w:basedOn w:val="Fuentedeprrafopredeter"/>
    <w:link w:val="Ttulo6"/>
    <w:rsid w:val="00F207B5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Ttulo7Car">
    <w:name w:val="Título 7 Car"/>
    <w:basedOn w:val="Fuentedeprrafopredeter"/>
    <w:link w:val="Ttulo7"/>
    <w:rsid w:val="00F207B5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rsid w:val="00F207B5"/>
    <w:rPr>
      <w:rFonts w:ascii="Times New Roman" w:eastAsia="Times New Roman" w:hAnsi="Times New Roman" w:cs="Times New Roman"/>
      <w:i/>
      <w:iCs/>
      <w:sz w:val="24"/>
      <w:szCs w:val="24"/>
      <w:lang w:val="es-ES"/>
    </w:rPr>
  </w:style>
  <w:style w:type="character" w:customStyle="1" w:styleId="Ttulo9Car">
    <w:name w:val="Título 9 Car"/>
    <w:basedOn w:val="Fuentedeprrafopredeter"/>
    <w:link w:val="Ttulo9"/>
    <w:rsid w:val="00F207B5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1"/>
    <w:rsid w:val="00F207B5"/>
    <w:pPr>
      <w:jc w:val="both"/>
    </w:pPr>
    <w:rPr>
      <w:rFonts w:ascii="Arial Narrow" w:eastAsia="Times New Roman" w:hAnsi="Arial Narrow"/>
      <w:sz w:val="22"/>
      <w:lang w:val="es-ES" w:eastAsia="en-US"/>
    </w:rPr>
  </w:style>
  <w:style w:type="character" w:customStyle="1" w:styleId="TextoindependienteCar">
    <w:name w:val="Texto independiente Car"/>
    <w:basedOn w:val="Fuentedeprrafopredeter"/>
    <w:uiPriority w:val="99"/>
    <w:semiHidden/>
    <w:rsid w:val="00F207B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notapie">
    <w:name w:val="footnote text"/>
    <w:aliases w:val=" Car,Car"/>
    <w:basedOn w:val="Normal"/>
    <w:link w:val="TextonotapieCar1"/>
    <w:rsid w:val="00F207B5"/>
    <w:pPr>
      <w:jc w:val="both"/>
    </w:pPr>
    <w:rPr>
      <w:rFonts w:eastAsia="Times New Roman"/>
      <w:lang w:val="es-ES" w:eastAsia="en-US"/>
    </w:rPr>
  </w:style>
  <w:style w:type="character" w:customStyle="1" w:styleId="TextonotapieCar">
    <w:name w:val="Texto nota pie Car"/>
    <w:basedOn w:val="Fuentedeprrafopredeter"/>
    <w:uiPriority w:val="99"/>
    <w:semiHidden/>
    <w:rsid w:val="00F207B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Refdenotaalpie">
    <w:name w:val="footnote reference"/>
    <w:basedOn w:val="Fuentedeprrafopredeter"/>
    <w:rsid w:val="00F207B5"/>
    <w:rPr>
      <w:rFonts w:ascii="Times New Roman" w:hAnsi="Times New Roman"/>
      <w:sz w:val="18"/>
      <w:vertAlign w:val="superscript"/>
    </w:rPr>
  </w:style>
  <w:style w:type="character" w:customStyle="1" w:styleId="TextonotapieCar1">
    <w:name w:val="Texto nota pie Car1"/>
    <w:aliases w:val=" Car Car,Car Car"/>
    <w:basedOn w:val="Fuentedeprrafopredeter"/>
    <w:link w:val="Textonotapie"/>
    <w:rsid w:val="00F207B5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2Car1">
    <w:name w:val="Título 2 Car1"/>
    <w:basedOn w:val="Fuentedeprrafopredeter"/>
    <w:link w:val="Ttulo2"/>
    <w:rsid w:val="00F207B5"/>
    <w:rPr>
      <w:rFonts w:ascii="Arial" w:eastAsia="SimSun" w:hAnsi="Arial" w:cs="Times New Roman"/>
      <w:b/>
      <w:i/>
      <w:sz w:val="28"/>
      <w:szCs w:val="28"/>
      <w:lang w:val="es-ES"/>
    </w:rPr>
  </w:style>
  <w:style w:type="character" w:customStyle="1" w:styleId="TextoindependienteCar1">
    <w:name w:val="Texto independiente Car1"/>
    <w:basedOn w:val="Fuentedeprrafopredeter"/>
    <w:link w:val="Textoindependiente"/>
    <w:rsid w:val="00F207B5"/>
    <w:rPr>
      <w:rFonts w:ascii="Arial Narrow" w:eastAsia="Times New Roman" w:hAnsi="Arial Narrow" w:cs="Times New Roman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7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7B5"/>
    <w:rPr>
      <w:rFonts w:ascii="Tahoma" w:eastAsia="SimSun" w:hAnsi="Tahoma" w:cs="Tahoma"/>
      <w:sz w:val="16"/>
      <w:szCs w:val="16"/>
      <w:lang w:eastAsia="zh-CN"/>
    </w:rPr>
  </w:style>
  <w:style w:type="character" w:styleId="Hipervnculo">
    <w:name w:val="Hyperlink"/>
    <w:basedOn w:val="Fuentedeprrafopredeter"/>
    <w:uiPriority w:val="99"/>
    <w:unhideWhenUsed/>
    <w:rsid w:val="0025799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F752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F0E65"/>
    <w:pPr>
      <w:spacing w:before="100" w:beforeAutospacing="1" w:after="100" w:afterAutospacing="1"/>
    </w:pPr>
    <w:rPr>
      <w:rFonts w:eastAsia="Times New Roman"/>
      <w:lang w:eastAsia="es-MX"/>
    </w:rPr>
  </w:style>
  <w:style w:type="character" w:customStyle="1" w:styleId="apple-converted-space">
    <w:name w:val="apple-converted-space"/>
    <w:basedOn w:val="Fuentedeprrafopredeter"/>
    <w:rsid w:val="00BF0E65"/>
  </w:style>
  <w:style w:type="table" w:styleId="Tablaconcuadrcula">
    <w:name w:val="Table Grid"/>
    <w:basedOn w:val="Tablanormal"/>
    <w:uiPriority w:val="59"/>
    <w:rsid w:val="00EF0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xmsolistparagraph">
    <w:name w:val="ecxmsolistparagraph"/>
    <w:basedOn w:val="Normal"/>
    <w:rsid w:val="00955AC1"/>
    <w:pPr>
      <w:spacing w:after="324"/>
    </w:pPr>
    <w:rPr>
      <w:rFonts w:eastAsia="Times New Roman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55A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AC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955A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AC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7B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F207B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  <w:lang w:val="es-ES" w:eastAsia="en-US"/>
    </w:rPr>
  </w:style>
  <w:style w:type="paragraph" w:styleId="Ttulo2">
    <w:name w:val="heading 2"/>
    <w:basedOn w:val="Normal"/>
    <w:next w:val="Normal"/>
    <w:link w:val="Ttulo2Car1"/>
    <w:qFormat/>
    <w:rsid w:val="00F207B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8"/>
      <w:lang w:val="es-ES" w:eastAsia="en-US"/>
    </w:rPr>
  </w:style>
  <w:style w:type="paragraph" w:styleId="Ttulo3">
    <w:name w:val="heading 3"/>
    <w:basedOn w:val="Normal"/>
    <w:next w:val="Normal"/>
    <w:link w:val="Ttulo3Car"/>
    <w:qFormat/>
    <w:rsid w:val="00F207B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  <w:szCs w:val="26"/>
      <w:lang w:val="es-ES" w:eastAsia="en-US"/>
    </w:rPr>
  </w:style>
  <w:style w:type="paragraph" w:styleId="Ttulo4">
    <w:name w:val="heading 4"/>
    <w:basedOn w:val="Normal"/>
    <w:next w:val="Normal"/>
    <w:link w:val="Ttulo4Car"/>
    <w:qFormat/>
    <w:rsid w:val="00F207B5"/>
    <w:pPr>
      <w:keepNext/>
      <w:numPr>
        <w:ilvl w:val="3"/>
        <w:numId w:val="1"/>
      </w:numPr>
      <w:jc w:val="both"/>
      <w:outlineLvl w:val="3"/>
    </w:pPr>
    <w:rPr>
      <w:rFonts w:ascii="Arial Narrow" w:hAnsi="Arial Narrow" w:cs="Arial Narrow"/>
      <w:i/>
      <w:iCs/>
      <w:sz w:val="22"/>
      <w:szCs w:val="22"/>
      <w:lang w:val="es-ES" w:eastAsia="en-US"/>
    </w:rPr>
  </w:style>
  <w:style w:type="paragraph" w:styleId="Ttulo5">
    <w:name w:val="heading 5"/>
    <w:basedOn w:val="Normal"/>
    <w:next w:val="Normal"/>
    <w:link w:val="Ttulo5Car"/>
    <w:qFormat/>
    <w:rsid w:val="00F207B5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es-MX"/>
    </w:rPr>
  </w:style>
  <w:style w:type="paragraph" w:styleId="Ttulo6">
    <w:name w:val="heading 6"/>
    <w:basedOn w:val="Normal"/>
    <w:next w:val="Normal"/>
    <w:link w:val="Ttulo6Car"/>
    <w:qFormat/>
    <w:rsid w:val="00F207B5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  <w:szCs w:val="22"/>
      <w:lang w:eastAsia="es-MX"/>
    </w:rPr>
  </w:style>
  <w:style w:type="paragraph" w:styleId="Ttulo7">
    <w:name w:val="heading 7"/>
    <w:basedOn w:val="Normal"/>
    <w:next w:val="Normal"/>
    <w:link w:val="Ttulo7Car"/>
    <w:qFormat/>
    <w:rsid w:val="00F207B5"/>
    <w:pPr>
      <w:numPr>
        <w:ilvl w:val="6"/>
        <w:numId w:val="1"/>
      </w:numPr>
      <w:spacing w:before="240" w:after="60"/>
      <w:outlineLvl w:val="6"/>
    </w:pPr>
    <w:rPr>
      <w:rFonts w:eastAsia="Times New Roman"/>
      <w:lang w:eastAsia="es-MX"/>
    </w:rPr>
  </w:style>
  <w:style w:type="paragraph" w:styleId="Ttulo8">
    <w:name w:val="heading 8"/>
    <w:basedOn w:val="Normal"/>
    <w:next w:val="Normal"/>
    <w:link w:val="Ttulo8Car"/>
    <w:qFormat/>
    <w:rsid w:val="00F207B5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lang w:val="es-ES" w:eastAsia="en-US"/>
    </w:rPr>
  </w:style>
  <w:style w:type="paragraph" w:styleId="Ttulo9">
    <w:name w:val="heading 9"/>
    <w:basedOn w:val="Normal"/>
    <w:next w:val="Normal"/>
    <w:link w:val="Ttulo9Car"/>
    <w:qFormat/>
    <w:rsid w:val="00F207B5"/>
    <w:pPr>
      <w:keepNext/>
      <w:widowControl w:val="0"/>
      <w:numPr>
        <w:ilvl w:val="8"/>
        <w:numId w:val="1"/>
      </w:numPr>
      <w:autoSpaceDE w:val="0"/>
      <w:autoSpaceDN w:val="0"/>
      <w:jc w:val="center"/>
      <w:outlineLvl w:val="8"/>
    </w:pPr>
    <w:rPr>
      <w:rFonts w:ascii="Arial" w:eastAsia="Times New Roman" w:hAnsi="Arial" w:cs="Arial"/>
      <w:b/>
      <w:b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207B5"/>
    <w:rPr>
      <w:rFonts w:ascii="Arial" w:eastAsia="SimSun" w:hAnsi="Arial" w:cs="Times New Roman"/>
      <w:b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uiPriority w:val="9"/>
    <w:semiHidden/>
    <w:rsid w:val="00F20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"/>
    <w:rsid w:val="00F207B5"/>
    <w:rPr>
      <w:rFonts w:ascii="Arial" w:eastAsia="SimSun" w:hAnsi="Arial" w:cs="Times New Roman"/>
      <w:b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rsid w:val="00F207B5"/>
    <w:rPr>
      <w:rFonts w:ascii="Arial Narrow" w:eastAsia="SimSun" w:hAnsi="Arial Narrow" w:cs="Arial Narrow"/>
      <w:i/>
      <w:iCs/>
      <w:lang w:val="es-ES"/>
    </w:rPr>
  </w:style>
  <w:style w:type="character" w:customStyle="1" w:styleId="Ttulo5Car">
    <w:name w:val="Título 5 Car"/>
    <w:basedOn w:val="Fuentedeprrafopredeter"/>
    <w:link w:val="Ttulo5"/>
    <w:rsid w:val="00F207B5"/>
    <w:rPr>
      <w:rFonts w:ascii="Times New Roman" w:eastAsia="Times New Roman" w:hAnsi="Times New Roman" w:cs="Times New Roman"/>
      <w:b/>
      <w:bCs/>
      <w:i/>
      <w:iCs/>
      <w:sz w:val="26"/>
      <w:szCs w:val="26"/>
      <w:lang w:eastAsia="es-MX"/>
    </w:rPr>
  </w:style>
  <w:style w:type="character" w:customStyle="1" w:styleId="Ttulo6Car">
    <w:name w:val="Título 6 Car"/>
    <w:basedOn w:val="Fuentedeprrafopredeter"/>
    <w:link w:val="Ttulo6"/>
    <w:rsid w:val="00F207B5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Ttulo7Car">
    <w:name w:val="Título 7 Car"/>
    <w:basedOn w:val="Fuentedeprrafopredeter"/>
    <w:link w:val="Ttulo7"/>
    <w:rsid w:val="00F207B5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rsid w:val="00F207B5"/>
    <w:rPr>
      <w:rFonts w:ascii="Times New Roman" w:eastAsia="Times New Roman" w:hAnsi="Times New Roman" w:cs="Times New Roman"/>
      <w:i/>
      <w:iCs/>
      <w:sz w:val="24"/>
      <w:szCs w:val="24"/>
      <w:lang w:val="es-ES"/>
    </w:rPr>
  </w:style>
  <w:style w:type="character" w:customStyle="1" w:styleId="Ttulo9Car">
    <w:name w:val="Título 9 Car"/>
    <w:basedOn w:val="Fuentedeprrafopredeter"/>
    <w:link w:val="Ttulo9"/>
    <w:rsid w:val="00F207B5"/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1"/>
    <w:rsid w:val="00F207B5"/>
    <w:pPr>
      <w:jc w:val="both"/>
    </w:pPr>
    <w:rPr>
      <w:rFonts w:ascii="Arial Narrow" w:eastAsia="Times New Roman" w:hAnsi="Arial Narrow"/>
      <w:sz w:val="22"/>
      <w:lang w:val="es-ES" w:eastAsia="en-US"/>
    </w:rPr>
  </w:style>
  <w:style w:type="character" w:customStyle="1" w:styleId="TextoindependienteCar">
    <w:name w:val="Texto independiente Car"/>
    <w:basedOn w:val="Fuentedeprrafopredeter"/>
    <w:uiPriority w:val="99"/>
    <w:semiHidden/>
    <w:rsid w:val="00F207B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onotapie">
    <w:name w:val="footnote text"/>
    <w:aliases w:val=" Car,Car"/>
    <w:basedOn w:val="Normal"/>
    <w:link w:val="TextonotapieCar1"/>
    <w:rsid w:val="00F207B5"/>
    <w:pPr>
      <w:jc w:val="both"/>
    </w:pPr>
    <w:rPr>
      <w:rFonts w:eastAsia="Times New Roman"/>
      <w:lang w:val="es-ES" w:eastAsia="en-US"/>
    </w:rPr>
  </w:style>
  <w:style w:type="character" w:customStyle="1" w:styleId="TextonotapieCar">
    <w:name w:val="Texto nota pie Car"/>
    <w:basedOn w:val="Fuentedeprrafopredeter"/>
    <w:uiPriority w:val="99"/>
    <w:semiHidden/>
    <w:rsid w:val="00F207B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Refdenotaalpie">
    <w:name w:val="footnote reference"/>
    <w:basedOn w:val="Fuentedeprrafopredeter"/>
    <w:rsid w:val="00F207B5"/>
    <w:rPr>
      <w:rFonts w:ascii="Times New Roman" w:hAnsi="Times New Roman"/>
      <w:sz w:val="18"/>
      <w:vertAlign w:val="superscript"/>
    </w:rPr>
  </w:style>
  <w:style w:type="character" w:customStyle="1" w:styleId="TextonotapieCar1">
    <w:name w:val="Texto nota pie Car1"/>
    <w:aliases w:val=" Car Car,Car Car"/>
    <w:basedOn w:val="Fuentedeprrafopredeter"/>
    <w:link w:val="Textonotapie"/>
    <w:rsid w:val="00F207B5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2Car1">
    <w:name w:val="Título 2 Car1"/>
    <w:basedOn w:val="Fuentedeprrafopredeter"/>
    <w:link w:val="Ttulo2"/>
    <w:rsid w:val="00F207B5"/>
    <w:rPr>
      <w:rFonts w:ascii="Arial" w:eastAsia="SimSun" w:hAnsi="Arial" w:cs="Times New Roman"/>
      <w:b/>
      <w:i/>
      <w:sz w:val="28"/>
      <w:szCs w:val="28"/>
      <w:lang w:val="es-ES"/>
    </w:rPr>
  </w:style>
  <w:style w:type="character" w:customStyle="1" w:styleId="TextoindependienteCar1">
    <w:name w:val="Texto independiente Car1"/>
    <w:basedOn w:val="Fuentedeprrafopredeter"/>
    <w:link w:val="Textoindependiente"/>
    <w:rsid w:val="00F207B5"/>
    <w:rPr>
      <w:rFonts w:ascii="Arial Narrow" w:eastAsia="Times New Roman" w:hAnsi="Arial Narrow" w:cs="Times New Roman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7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7B5"/>
    <w:rPr>
      <w:rFonts w:ascii="Tahoma" w:eastAsia="SimSun" w:hAnsi="Tahoma" w:cs="Tahoma"/>
      <w:sz w:val="16"/>
      <w:szCs w:val="16"/>
      <w:lang w:eastAsia="zh-CN"/>
    </w:rPr>
  </w:style>
  <w:style w:type="character" w:styleId="Hipervnculo">
    <w:name w:val="Hyperlink"/>
    <w:basedOn w:val="Fuentedeprrafopredeter"/>
    <w:uiPriority w:val="99"/>
    <w:unhideWhenUsed/>
    <w:rsid w:val="0025799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F752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F0E65"/>
    <w:pPr>
      <w:spacing w:before="100" w:beforeAutospacing="1" w:after="100" w:afterAutospacing="1"/>
    </w:pPr>
    <w:rPr>
      <w:rFonts w:eastAsia="Times New Roman"/>
      <w:lang w:eastAsia="es-MX"/>
    </w:rPr>
  </w:style>
  <w:style w:type="character" w:customStyle="1" w:styleId="apple-converted-space">
    <w:name w:val="apple-converted-space"/>
    <w:basedOn w:val="Fuentedeprrafopredeter"/>
    <w:rsid w:val="00BF0E65"/>
  </w:style>
  <w:style w:type="table" w:styleId="Tablaconcuadrcula">
    <w:name w:val="Table Grid"/>
    <w:basedOn w:val="Tablanormal"/>
    <w:uiPriority w:val="59"/>
    <w:rsid w:val="00EF0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xmsolistparagraph">
    <w:name w:val="ecxmsolistparagraph"/>
    <w:basedOn w:val="Normal"/>
    <w:rsid w:val="00955AC1"/>
    <w:pPr>
      <w:spacing w:after="324"/>
    </w:pPr>
    <w:rPr>
      <w:rFonts w:eastAsia="Times New Roman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55A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AC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955A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AC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6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59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uario\Documents\DATOS-PRODUCCI&#211;N%20DE%20CONOCIMIENTO\An+&#237;lisis%20de%20datos%20-V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n+&#237;lisis%20de%20datos%20-V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uario\Documents\DATOS-PRODUCCI&#211;N%20DE%20CONOCIMIENTO\An+&#237;lisis%20de%20datos%20-V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uario\Documents\DATOS-PRODUCCI&#211;N%20DE%20CONOCIMIENTO\An+&#237;lisis%20de%20datos%20-V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000" b="1" i="0" baseline="0">
                <a:effectLst/>
              </a:rPr>
              <a:t>MODALIDADES DE PRODUCCIÓN DEL CONOCIMIENTO 2000-2012</a:t>
            </a:r>
            <a:endParaRPr lang="es-MX" sz="10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Hoja2!$A$2</c:f>
              <c:strCache>
                <c:ptCount val="1"/>
                <c:pt idx="0">
                  <c:v>Básica </c:v>
                </c:pt>
              </c:strCache>
            </c:strRef>
          </c:tx>
          <c:invertIfNegative val="0"/>
          <c:cat>
            <c:numRef>
              <c:f>Hoja2!$B$1:$N$1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Hoja2!$B$2:$N$2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229</c:v>
                </c:pt>
                <c:pt idx="5">
                  <c:v>153</c:v>
                </c:pt>
                <c:pt idx="6">
                  <c:v>175</c:v>
                </c:pt>
                <c:pt idx="7">
                  <c:v>203</c:v>
                </c:pt>
                <c:pt idx="8">
                  <c:v>223</c:v>
                </c:pt>
                <c:pt idx="9">
                  <c:v>161</c:v>
                </c:pt>
                <c:pt idx="10">
                  <c:v>170</c:v>
                </c:pt>
                <c:pt idx="11">
                  <c:v>144</c:v>
                </c:pt>
                <c:pt idx="12">
                  <c:v>145</c:v>
                </c:pt>
              </c:numCache>
            </c:numRef>
          </c:val>
        </c:ser>
        <c:ser>
          <c:idx val="2"/>
          <c:order val="1"/>
          <c:tx>
            <c:strRef>
              <c:f>Hoja2!$A$3</c:f>
              <c:strCache>
                <c:ptCount val="1"/>
                <c:pt idx="0">
                  <c:v>Aplicada</c:v>
                </c:pt>
              </c:strCache>
            </c:strRef>
          </c:tx>
          <c:invertIfNegative val="0"/>
          <c:cat>
            <c:numRef>
              <c:f>Hoja2!$B$1:$N$1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Hoja2!$B$3:$N$3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318</c:v>
                </c:pt>
                <c:pt idx="5">
                  <c:v>391</c:v>
                </c:pt>
                <c:pt idx="6">
                  <c:v>400</c:v>
                </c:pt>
                <c:pt idx="7">
                  <c:v>423</c:v>
                </c:pt>
                <c:pt idx="8">
                  <c:v>361</c:v>
                </c:pt>
                <c:pt idx="9">
                  <c:v>333</c:v>
                </c:pt>
                <c:pt idx="10">
                  <c:v>307</c:v>
                </c:pt>
                <c:pt idx="11">
                  <c:v>282</c:v>
                </c:pt>
                <c:pt idx="12">
                  <c:v>246</c:v>
                </c:pt>
              </c:numCache>
            </c:numRef>
          </c:val>
        </c:ser>
        <c:ser>
          <c:idx val="3"/>
          <c:order val="2"/>
          <c:tx>
            <c:strRef>
              <c:f>Hoja2!$A$4</c:f>
              <c:strCache>
                <c:ptCount val="1"/>
                <c:pt idx="0">
                  <c:v>Desarrollo tecnológico</c:v>
                </c:pt>
              </c:strCache>
            </c:strRef>
          </c:tx>
          <c:invertIfNegative val="0"/>
          <c:cat>
            <c:numRef>
              <c:f>Hoja2!$B$1:$N$1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Hoja2!$B$4:$N$4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99</c:v>
                </c:pt>
                <c:pt idx="5">
                  <c:v>45</c:v>
                </c:pt>
                <c:pt idx="6">
                  <c:v>50</c:v>
                </c:pt>
                <c:pt idx="7">
                  <c:v>120</c:v>
                </c:pt>
                <c:pt idx="8">
                  <c:v>106</c:v>
                </c:pt>
                <c:pt idx="9">
                  <c:v>38</c:v>
                </c:pt>
                <c:pt idx="10">
                  <c:v>98</c:v>
                </c:pt>
                <c:pt idx="11">
                  <c:v>50</c:v>
                </c:pt>
                <c:pt idx="12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0898560"/>
        <c:axId val="121197632"/>
        <c:axId val="0"/>
      </c:bar3DChart>
      <c:catAx>
        <c:axId val="12089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197632"/>
        <c:crosses val="autoZero"/>
        <c:auto val="1"/>
        <c:lblAlgn val="ctr"/>
        <c:lblOffset val="100"/>
        <c:noMultiLvlLbl val="0"/>
      </c:catAx>
      <c:valAx>
        <c:axId val="121197632"/>
        <c:scaling>
          <c:orientation val="minMax"/>
          <c:max val="5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20898560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noFill/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600" b="1" i="0" baseline="0">
                <a:effectLst/>
              </a:rPr>
              <a:t>Organización para la producción del conocimiento</a:t>
            </a:r>
            <a:endParaRPr lang="es-MX" sz="16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MX"/>
          </a:p>
        </c:rich>
      </c:tx>
      <c:layout>
        <c:manualLayout>
          <c:xMode val="edge"/>
          <c:yMode val="edge"/>
          <c:x val="0.18696226801437088"/>
          <c:y val="3.022815396836207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Hoja3!$A$2</c:f>
              <c:strCache>
                <c:ptCount val="1"/>
                <c:pt idx="0">
                  <c:v>Grupal</c:v>
                </c:pt>
              </c:strCache>
            </c:strRef>
          </c:tx>
          <c:invertIfNegative val="0"/>
          <c:cat>
            <c:numRef>
              <c:f>Hoja3!$B$1:$M$1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Hoja3!$B$2:$M$2</c:f>
              <c:numCache>
                <c:formatCode>General</c:formatCode>
                <c:ptCount val="12"/>
                <c:pt idx="0">
                  <c:v>573</c:v>
                </c:pt>
                <c:pt idx="1">
                  <c:v>466</c:v>
                </c:pt>
                <c:pt idx="2">
                  <c:v>397</c:v>
                </c:pt>
                <c:pt idx="3">
                  <c:v>466</c:v>
                </c:pt>
                <c:pt idx="4">
                  <c:v>402</c:v>
                </c:pt>
                <c:pt idx="5">
                  <c:v>470</c:v>
                </c:pt>
                <c:pt idx="6">
                  <c:v>445</c:v>
                </c:pt>
                <c:pt idx="7">
                  <c:v>528</c:v>
                </c:pt>
                <c:pt idx="8">
                  <c:v>464</c:v>
                </c:pt>
                <c:pt idx="9">
                  <c:v>368</c:v>
                </c:pt>
                <c:pt idx="10">
                  <c:v>408</c:v>
                </c:pt>
                <c:pt idx="11">
                  <c:v>413</c:v>
                </c:pt>
              </c:numCache>
            </c:numRef>
          </c:val>
        </c:ser>
        <c:ser>
          <c:idx val="1"/>
          <c:order val="1"/>
          <c:tx>
            <c:strRef>
              <c:f>Hoja3!$A$3</c:f>
              <c:strCache>
                <c:ptCount val="1"/>
                <c:pt idx="0">
                  <c:v>Individual</c:v>
                </c:pt>
              </c:strCache>
            </c:strRef>
          </c:tx>
          <c:invertIfNegative val="0"/>
          <c:cat>
            <c:numRef>
              <c:f>Hoja3!$B$1:$M$1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Hoja3!$B$3:$M$3</c:f>
              <c:numCache>
                <c:formatCode>General</c:formatCode>
                <c:ptCount val="12"/>
                <c:pt idx="0">
                  <c:v>435</c:v>
                </c:pt>
                <c:pt idx="1">
                  <c:v>409</c:v>
                </c:pt>
                <c:pt idx="2">
                  <c:v>329</c:v>
                </c:pt>
                <c:pt idx="3">
                  <c:v>294</c:v>
                </c:pt>
                <c:pt idx="4">
                  <c:v>354</c:v>
                </c:pt>
                <c:pt idx="5">
                  <c:v>323</c:v>
                </c:pt>
                <c:pt idx="6">
                  <c:v>340</c:v>
                </c:pt>
                <c:pt idx="7">
                  <c:v>288</c:v>
                </c:pt>
                <c:pt idx="8">
                  <c:v>242</c:v>
                </c:pt>
                <c:pt idx="9">
                  <c:v>188</c:v>
                </c:pt>
                <c:pt idx="10">
                  <c:v>188</c:v>
                </c:pt>
                <c:pt idx="11">
                  <c:v>92</c:v>
                </c:pt>
              </c:numCache>
            </c:numRef>
          </c:val>
        </c:ser>
        <c:ser>
          <c:idx val="2"/>
          <c:order val="2"/>
          <c:tx>
            <c:strRef>
              <c:f>Hoja3!$A$4</c:f>
              <c:strCache>
                <c:ptCount val="1"/>
                <c:pt idx="0">
                  <c:v>No contestaron </c:v>
                </c:pt>
              </c:strCache>
            </c:strRef>
          </c:tx>
          <c:invertIfNegative val="0"/>
          <c:cat>
            <c:numRef>
              <c:f>Hoja3!$B$1:$M$1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Hoja3!$B$4:$M$4</c:f>
              <c:numCache>
                <c:formatCode>General</c:formatCode>
                <c:ptCount val="12"/>
                <c:pt idx="0">
                  <c:v>82</c:v>
                </c:pt>
                <c:pt idx="1">
                  <c:v>98</c:v>
                </c:pt>
                <c:pt idx="2">
                  <c:v>18</c:v>
                </c:pt>
                <c:pt idx="3">
                  <c:v>1</c:v>
                </c:pt>
                <c:pt idx="4">
                  <c:v>1</c:v>
                </c:pt>
                <c:pt idx="5">
                  <c:v>5</c:v>
                </c:pt>
                <c:pt idx="6">
                  <c:v>0</c:v>
                </c:pt>
                <c:pt idx="7">
                  <c:v>8</c:v>
                </c:pt>
                <c:pt idx="8">
                  <c:v>42</c:v>
                </c:pt>
                <c:pt idx="9">
                  <c:v>55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899072"/>
        <c:axId val="121198208"/>
      </c:barChart>
      <c:catAx>
        <c:axId val="120899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198208"/>
        <c:crosses val="autoZero"/>
        <c:auto val="1"/>
        <c:lblAlgn val="ctr"/>
        <c:lblOffset val="100"/>
        <c:noMultiLvlLbl val="0"/>
      </c:catAx>
      <c:valAx>
        <c:axId val="1211982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2089907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es-MX" sz="1400" b="1" i="0" baseline="0">
                <a:effectLst/>
              </a:rPr>
              <a:t>Tipo de sector beneficiado de 2000-2012</a:t>
            </a:r>
            <a:endParaRPr lang="es-MX" sz="14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Hoja5!$A$2</c:f>
              <c:strCache>
                <c:ptCount val="1"/>
                <c:pt idx="0">
                  <c:v>Empresarial</c:v>
                </c:pt>
              </c:strCache>
            </c:strRef>
          </c:tx>
          <c:invertIfNegative val="0"/>
          <c:cat>
            <c:numRef>
              <c:f>Hoja5!$B$1:$N$1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Hoja5!$B$2:$N$2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43</c:v>
                </c:pt>
                <c:pt idx="5">
                  <c:v>53</c:v>
                </c:pt>
                <c:pt idx="6">
                  <c:v>46</c:v>
                </c:pt>
                <c:pt idx="7">
                  <c:v>37</c:v>
                </c:pt>
                <c:pt idx="8">
                  <c:v>39</c:v>
                </c:pt>
                <c:pt idx="9">
                  <c:v>28</c:v>
                </c:pt>
                <c:pt idx="10">
                  <c:v>32</c:v>
                </c:pt>
                <c:pt idx="11">
                  <c:v>23</c:v>
                </c:pt>
                <c:pt idx="12">
                  <c:v>13</c:v>
                </c:pt>
              </c:numCache>
            </c:numRef>
          </c:val>
        </c:ser>
        <c:ser>
          <c:idx val="1"/>
          <c:order val="1"/>
          <c:tx>
            <c:strRef>
              <c:f>Hoja5!$A$3</c:f>
              <c:strCache>
                <c:ptCount val="1"/>
                <c:pt idx="0">
                  <c:v>Social</c:v>
                </c:pt>
              </c:strCache>
            </c:strRef>
          </c:tx>
          <c:invertIfNegative val="0"/>
          <c:cat>
            <c:numRef>
              <c:f>Hoja5!$B$1:$N$1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Hoja5!$B$3:$N$3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558</c:v>
                </c:pt>
                <c:pt idx="5">
                  <c:v>603</c:v>
                </c:pt>
                <c:pt idx="6">
                  <c:v>605</c:v>
                </c:pt>
                <c:pt idx="7">
                  <c:v>612</c:v>
                </c:pt>
                <c:pt idx="8">
                  <c:v>604</c:v>
                </c:pt>
                <c:pt idx="9">
                  <c:v>504</c:v>
                </c:pt>
                <c:pt idx="10">
                  <c:v>564</c:v>
                </c:pt>
                <c:pt idx="11">
                  <c:v>482</c:v>
                </c:pt>
                <c:pt idx="12">
                  <c:v>438</c:v>
                </c:pt>
              </c:numCache>
            </c:numRef>
          </c:val>
        </c:ser>
        <c:ser>
          <c:idx val="2"/>
          <c:order val="2"/>
          <c:tx>
            <c:strRef>
              <c:f>Hoja5!$A$4</c:f>
              <c:strCache>
                <c:ptCount val="1"/>
                <c:pt idx="0">
                  <c:v>No contestaron </c:v>
                </c:pt>
              </c:strCache>
            </c:strRef>
          </c:tx>
          <c:invertIfNegative val="0"/>
          <c:cat>
            <c:numRef>
              <c:f>Hoja5!$B$1:$N$1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Hoja5!$B$4:$N$4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142</c:v>
                </c:pt>
                <c:pt idx="5">
                  <c:v>134</c:v>
                </c:pt>
                <c:pt idx="6">
                  <c:v>124</c:v>
                </c:pt>
                <c:pt idx="7">
                  <c:v>165</c:v>
                </c:pt>
                <c:pt idx="8">
                  <c:v>98</c:v>
                </c:pt>
                <c:pt idx="9">
                  <c:v>72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0900096"/>
        <c:axId val="121088256"/>
        <c:axId val="0"/>
      </c:bar3DChart>
      <c:catAx>
        <c:axId val="12090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088256"/>
        <c:crosses val="autoZero"/>
        <c:auto val="1"/>
        <c:lblAlgn val="ctr"/>
        <c:lblOffset val="100"/>
        <c:noMultiLvlLbl val="0"/>
      </c:catAx>
      <c:valAx>
        <c:axId val="1210882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2090009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MX" sz="1200" b="1" i="0" u="none" strike="noStrike" baseline="0">
                <a:effectLst/>
              </a:rPr>
              <a:t>Tipo se sector beneficiado </a:t>
            </a:r>
            <a:r>
              <a:rPr lang="es-MX" sz="1200" b="1" i="0" baseline="0">
                <a:effectLst/>
              </a:rPr>
              <a:t>en la producción del conocimiento</a:t>
            </a:r>
            <a:endParaRPr lang="es-MX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MX" sz="1200" b="1" i="0" u="none" strike="noStrike" baseline="0">
                <a:effectLst/>
              </a:rPr>
              <a:t> </a:t>
            </a:r>
            <a:r>
              <a:rPr lang="es-MX" sz="1200" b="1" i="0" u="none" strike="noStrike" baseline="0"/>
              <a:t> </a:t>
            </a:r>
            <a:endParaRPr lang="es-MX" sz="1200" b="1"/>
          </a:p>
        </c:rich>
      </c:tx>
      <c:layout>
        <c:manualLayout>
          <c:xMode val="edge"/>
          <c:yMode val="edge"/>
          <c:x val="0.23091993018649676"/>
          <c:y val="4.910714285714291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Hoja6!$A$2</c:f>
              <c:strCache>
                <c:ptCount val="1"/>
                <c:pt idx="0">
                  <c:v>Comunidades </c:v>
                </c:pt>
              </c:strCache>
            </c:strRef>
          </c:tx>
          <c:invertIfNegative val="0"/>
          <c:cat>
            <c:numRef>
              <c:f>Hoja6!$B$1:$N$1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Hoja6!$B$2:$N$2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164</c:v>
                </c:pt>
                <c:pt idx="5">
                  <c:v>163</c:v>
                </c:pt>
                <c:pt idx="6">
                  <c:v>159</c:v>
                </c:pt>
                <c:pt idx="7">
                  <c:v>143</c:v>
                </c:pt>
                <c:pt idx="8">
                  <c:v>202</c:v>
                </c:pt>
                <c:pt idx="9">
                  <c:v>156</c:v>
                </c:pt>
                <c:pt idx="10">
                  <c:v>195</c:v>
                </c:pt>
                <c:pt idx="11">
                  <c:v>162</c:v>
                </c:pt>
                <c:pt idx="12">
                  <c:v>156</c:v>
                </c:pt>
              </c:numCache>
            </c:numRef>
          </c:val>
        </c:ser>
        <c:ser>
          <c:idx val="2"/>
          <c:order val="1"/>
          <c:tx>
            <c:strRef>
              <c:f>Hoja6!$A$3</c:f>
              <c:strCache>
                <c:ptCount val="1"/>
                <c:pt idx="0">
                  <c:v>Ejidos</c:v>
                </c:pt>
              </c:strCache>
            </c:strRef>
          </c:tx>
          <c:invertIfNegative val="0"/>
          <c:cat>
            <c:numRef>
              <c:f>Hoja6!$B$1:$N$1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Hoja6!$B$3:$N$3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61</c:v>
                </c:pt>
                <c:pt idx="5">
                  <c:v>51</c:v>
                </c:pt>
                <c:pt idx="6">
                  <c:v>53</c:v>
                </c:pt>
                <c:pt idx="7">
                  <c:v>51</c:v>
                </c:pt>
                <c:pt idx="8">
                  <c:v>41</c:v>
                </c:pt>
                <c:pt idx="9">
                  <c:v>43</c:v>
                </c:pt>
                <c:pt idx="10">
                  <c:v>55</c:v>
                </c:pt>
                <c:pt idx="11">
                  <c:v>38</c:v>
                </c:pt>
                <c:pt idx="12">
                  <c:v>36</c:v>
                </c:pt>
              </c:numCache>
            </c:numRef>
          </c:val>
        </c:ser>
        <c:ser>
          <c:idx val="3"/>
          <c:order val="2"/>
          <c:tx>
            <c:strRef>
              <c:f>Hoja6!$A$4</c:f>
              <c:strCache>
                <c:ptCount val="1"/>
                <c:pt idx="0">
                  <c:v>Productores</c:v>
                </c:pt>
              </c:strCache>
            </c:strRef>
          </c:tx>
          <c:invertIfNegative val="0"/>
          <c:cat>
            <c:numRef>
              <c:f>Hoja6!$B$1:$N$1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Hoja6!$B$4:$N$4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305</c:v>
                </c:pt>
                <c:pt idx="5">
                  <c:v>346</c:v>
                </c:pt>
                <c:pt idx="6">
                  <c:v>367</c:v>
                </c:pt>
                <c:pt idx="7">
                  <c:v>378</c:v>
                </c:pt>
                <c:pt idx="8">
                  <c:v>358</c:v>
                </c:pt>
                <c:pt idx="9">
                  <c:v>302</c:v>
                </c:pt>
                <c:pt idx="10">
                  <c:v>315</c:v>
                </c:pt>
                <c:pt idx="11">
                  <c:v>282</c:v>
                </c:pt>
                <c:pt idx="12">
                  <c:v>246</c:v>
                </c:pt>
              </c:numCache>
            </c:numRef>
          </c:val>
        </c:ser>
        <c:ser>
          <c:idx val="0"/>
          <c:order val="3"/>
          <c:tx>
            <c:strRef>
              <c:f>Hoja6!$A$5</c:f>
              <c:strCache>
                <c:ptCount val="1"/>
                <c:pt idx="0">
                  <c:v>No contestaron </c:v>
                </c:pt>
              </c:strCache>
            </c:strRef>
          </c:tx>
          <c:invertIfNegative val="0"/>
          <c:cat>
            <c:numRef>
              <c:f>Hoja6!$B$1:$N$1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Hoja6!$B$5:$N$5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227</c:v>
                </c:pt>
                <c:pt idx="5">
                  <c:v>238</c:v>
                </c:pt>
                <c:pt idx="6">
                  <c:v>206</c:v>
                </c:pt>
                <c:pt idx="7">
                  <c:v>252</c:v>
                </c:pt>
                <c:pt idx="8">
                  <c:v>147</c:v>
                </c:pt>
                <c:pt idx="9">
                  <c:v>110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3225472"/>
        <c:axId val="121090560"/>
        <c:axId val="0"/>
      </c:bar3DChart>
      <c:catAx>
        <c:axId val="13322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1090560"/>
        <c:crosses val="autoZero"/>
        <c:auto val="1"/>
        <c:lblAlgn val="ctr"/>
        <c:lblOffset val="100"/>
        <c:noMultiLvlLbl val="0"/>
      </c:catAx>
      <c:valAx>
        <c:axId val="1210905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322547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FA6A-3AF9-4CCC-B430-2A06F345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3000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</dc:creator>
  <cp:lastModifiedBy>Adalgiso</cp:lastModifiedBy>
  <cp:revision>11</cp:revision>
  <cp:lastPrinted>2015-07-03T17:38:00Z</cp:lastPrinted>
  <dcterms:created xsi:type="dcterms:W3CDTF">2016-01-21T03:11:00Z</dcterms:created>
  <dcterms:modified xsi:type="dcterms:W3CDTF">2016-01-21T03:43:00Z</dcterms:modified>
</cp:coreProperties>
</file>