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5490" w:rsidRPr="009C3E30" w:rsidRDefault="001540B6" w:rsidP="001540B6">
      <w:pPr>
        <w:spacing w:after="0" w:line="240" w:lineRule="auto"/>
        <w:jc w:val="center"/>
        <w:rPr>
          <w:rFonts w:ascii="Arial" w:hAnsi="Arial" w:cs="Arial"/>
          <w:b/>
          <w:sz w:val="24"/>
          <w:szCs w:val="24"/>
        </w:rPr>
      </w:pPr>
      <w:r w:rsidRPr="009C3E30">
        <w:rPr>
          <w:rFonts w:ascii="Arial" w:hAnsi="Arial" w:cs="Arial"/>
          <w:b/>
          <w:sz w:val="24"/>
          <w:szCs w:val="24"/>
        </w:rPr>
        <w:t>LA RED DE APOYO SOCIAL Y SU RELACIÓN CON EL SÍNDROME DE BURNOUT EN ALUMNOS DE LICENCIATURA</w:t>
      </w:r>
      <w:r w:rsidR="00190102">
        <w:rPr>
          <w:rFonts w:ascii="Arial" w:hAnsi="Arial" w:cs="Arial"/>
          <w:b/>
          <w:sz w:val="24"/>
          <w:szCs w:val="24"/>
        </w:rPr>
        <w:t>.</w:t>
      </w:r>
      <w:r w:rsidR="00190102" w:rsidRPr="00190102">
        <w:rPr>
          <w:rFonts w:ascii="Arial" w:hAnsi="Arial" w:cs="Arial"/>
          <w:b/>
          <w:color w:val="FF0000"/>
          <w:sz w:val="24"/>
          <w:szCs w:val="24"/>
        </w:rPr>
        <w:t xml:space="preserve"> </w:t>
      </w:r>
      <w:r w:rsidR="00190102" w:rsidRPr="00C34E89">
        <w:rPr>
          <w:rFonts w:ascii="Arial" w:hAnsi="Arial" w:cs="Arial"/>
          <w:b/>
          <w:sz w:val="24"/>
          <w:szCs w:val="24"/>
        </w:rPr>
        <w:t>UN ESTUDIO DE CASO</w:t>
      </w:r>
    </w:p>
    <w:p w:rsidR="001540B6" w:rsidRDefault="001540B6" w:rsidP="001540B6">
      <w:pPr>
        <w:spacing w:after="0" w:line="240" w:lineRule="auto"/>
        <w:jc w:val="center"/>
        <w:rPr>
          <w:rFonts w:ascii="Arial" w:hAnsi="Arial" w:cs="Arial"/>
          <w:b/>
          <w:sz w:val="24"/>
          <w:szCs w:val="24"/>
        </w:rPr>
      </w:pPr>
    </w:p>
    <w:p w:rsidR="006F6A43" w:rsidRPr="009C3E30" w:rsidRDefault="006F6A43" w:rsidP="001540B6">
      <w:pPr>
        <w:spacing w:after="0" w:line="240" w:lineRule="auto"/>
        <w:jc w:val="center"/>
        <w:rPr>
          <w:rFonts w:ascii="Arial" w:hAnsi="Arial" w:cs="Arial"/>
          <w:b/>
          <w:sz w:val="24"/>
          <w:szCs w:val="24"/>
        </w:rPr>
      </w:pPr>
      <w:bookmarkStart w:id="0" w:name="_GoBack"/>
      <w:bookmarkEnd w:id="0"/>
    </w:p>
    <w:p w:rsidR="001540B6" w:rsidRPr="006F6A43" w:rsidRDefault="001540B6" w:rsidP="001540B6">
      <w:pPr>
        <w:spacing w:after="0" w:line="240" w:lineRule="auto"/>
        <w:jc w:val="right"/>
        <w:rPr>
          <w:rFonts w:ascii="Arial" w:hAnsi="Arial" w:cs="Arial"/>
          <w:b/>
          <w:sz w:val="20"/>
          <w:szCs w:val="20"/>
        </w:rPr>
      </w:pPr>
      <w:r w:rsidRPr="006F6A43">
        <w:rPr>
          <w:rFonts w:ascii="Arial" w:hAnsi="Arial" w:cs="Arial"/>
          <w:b/>
          <w:sz w:val="20"/>
          <w:szCs w:val="20"/>
        </w:rPr>
        <w:t>Arturo Barraza Macías</w:t>
      </w:r>
    </w:p>
    <w:p w:rsidR="001540B6" w:rsidRPr="006F6A43" w:rsidRDefault="001540B6" w:rsidP="001540B6">
      <w:pPr>
        <w:spacing w:after="0" w:line="240" w:lineRule="auto"/>
        <w:jc w:val="right"/>
        <w:rPr>
          <w:rFonts w:ascii="Arial" w:hAnsi="Arial" w:cs="Arial"/>
          <w:i/>
          <w:sz w:val="20"/>
          <w:szCs w:val="20"/>
        </w:rPr>
      </w:pPr>
      <w:r w:rsidRPr="006F6A43">
        <w:rPr>
          <w:rFonts w:ascii="Arial" w:hAnsi="Arial" w:cs="Arial"/>
          <w:i/>
          <w:sz w:val="20"/>
          <w:szCs w:val="20"/>
        </w:rPr>
        <w:t>Universidad Pedagógica de Durango</w:t>
      </w:r>
    </w:p>
    <w:p w:rsidR="001540B6" w:rsidRPr="006F6A43" w:rsidRDefault="001540B6" w:rsidP="001540B6">
      <w:pPr>
        <w:spacing w:after="0" w:line="240" w:lineRule="auto"/>
        <w:jc w:val="right"/>
        <w:rPr>
          <w:rFonts w:ascii="Arial" w:hAnsi="Arial" w:cs="Arial"/>
          <w:b/>
          <w:sz w:val="20"/>
          <w:szCs w:val="20"/>
        </w:rPr>
      </w:pPr>
    </w:p>
    <w:p w:rsidR="001540B6" w:rsidRPr="006F6A43" w:rsidRDefault="001540B6" w:rsidP="001540B6">
      <w:pPr>
        <w:spacing w:after="0" w:line="240" w:lineRule="auto"/>
        <w:jc w:val="right"/>
        <w:rPr>
          <w:rFonts w:ascii="Arial" w:hAnsi="Arial" w:cs="Arial"/>
          <w:b/>
          <w:sz w:val="20"/>
          <w:szCs w:val="20"/>
        </w:rPr>
      </w:pPr>
      <w:r w:rsidRPr="006F6A43">
        <w:rPr>
          <w:rFonts w:ascii="Arial" w:hAnsi="Arial" w:cs="Arial"/>
          <w:b/>
          <w:sz w:val="20"/>
          <w:szCs w:val="20"/>
        </w:rPr>
        <w:t xml:space="preserve">Paula Elvira </w:t>
      </w:r>
      <w:proofErr w:type="spellStart"/>
      <w:r w:rsidRPr="006F6A43">
        <w:rPr>
          <w:rFonts w:ascii="Arial" w:hAnsi="Arial" w:cs="Arial"/>
          <w:b/>
          <w:sz w:val="20"/>
          <w:szCs w:val="20"/>
        </w:rPr>
        <w:t>Ceceñas</w:t>
      </w:r>
      <w:proofErr w:type="spellEnd"/>
      <w:r w:rsidRPr="006F6A43">
        <w:rPr>
          <w:rFonts w:ascii="Arial" w:hAnsi="Arial" w:cs="Arial"/>
          <w:b/>
          <w:sz w:val="20"/>
          <w:szCs w:val="20"/>
        </w:rPr>
        <w:t xml:space="preserve"> Torrero</w:t>
      </w:r>
    </w:p>
    <w:p w:rsidR="001540B6" w:rsidRPr="006F6A43" w:rsidRDefault="001540B6" w:rsidP="001540B6">
      <w:pPr>
        <w:spacing w:after="0" w:line="240" w:lineRule="auto"/>
        <w:jc w:val="right"/>
        <w:rPr>
          <w:rFonts w:ascii="Arial" w:hAnsi="Arial" w:cs="Arial"/>
          <w:i/>
          <w:sz w:val="20"/>
          <w:szCs w:val="20"/>
        </w:rPr>
      </w:pPr>
      <w:r w:rsidRPr="006F6A43">
        <w:rPr>
          <w:rFonts w:ascii="Arial" w:hAnsi="Arial" w:cs="Arial"/>
          <w:i/>
          <w:sz w:val="20"/>
          <w:szCs w:val="20"/>
        </w:rPr>
        <w:t>Universidad Pedagógica de Durango</w:t>
      </w:r>
    </w:p>
    <w:p w:rsidR="001540B6" w:rsidRPr="009C3E30" w:rsidRDefault="001540B6" w:rsidP="001540B6">
      <w:pPr>
        <w:spacing w:after="0" w:line="240" w:lineRule="auto"/>
        <w:jc w:val="right"/>
        <w:rPr>
          <w:rFonts w:ascii="Arial" w:hAnsi="Arial" w:cs="Arial"/>
          <w:b/>
          <w:sz w:val="24"/>
          <w:szCs w:val="24"/>
        </w:rPr>
      </w:pPr>
    </w:p>
    <w:p w:rsidR="001540B6" w:rsidRPr="006F6A43" w:rsidRDefault="001540B6" w:rsidP="001540B6">
      <w:pPr>
        <w:spacing w:after="0" w:line="240" w:lineRule="auto"/>
        <w:rPr>
          <w:rFonts w:ascii="Arial" w:hAnsi="Arial" w:cs="Arial"/>
          <w:b/>
          <w:sz w:val="20"/>
          <w:szCs w:val="20"/>
        </w:rPr>
      </w:pPr>
      <w:r w:rsidRPr="006F6A43">
        <w:rPr>
          <w:rFonts w:ascii="Arial" w:hAnsi="Arial" w:cs="Arial"/>
          <w:b/>
          <w:sz w:val="20"/>
          <w:szCs w:val="20"/>
        </w:rPr>
        <w:t>Resumen</w:t>
      </w:r>
    </w:p>
    <w:p w:rsidR="00D905C9" w:rsidRPr="006F6A43" w:rsidRDefault="00D905C9" w:rsidP="001540B6">
      <w:pPr>
        <w:spacing w:after="0" w:line="240" w:lineRule="auto"/>
        <w:rPr>
          <w:rFonts w:ascii="Arial" w:hAnsi="Arial" w:cs="Arial"/>
          <w:sz w:val="20"/>
          <w:szCs w:val="20"/>
        </w:rPr>
      </w:pPr>
    </w:p>
    <w:p w:rsidR="00D905C9" w:rsidRPr="006F6A43" w:rsidRDefault="00D905C9" w:rsidP="00D905C9">
      <w:pPr>
        <w:spacing w:after="0" w:line="240" w:lineRule="auto"/>
        <w:rPr>
          <w:rFonts w:ascii="Arial" w:hAnsi="Arial" w:cs="Arial"/>
          <w:sz w:val="20"/>
          <w:szCs w:val="20"/>
        </w:rPr>
      </w:pPr>
      <w:r w:rsidRPr="006F6A43">
        <w:rPr>
          <w:rFonts w:ascii="Arial" w:hAnsi="Arial" w:cs="Arial"/>
          <w:sz w:val="20"/>
          <w:szCs w:val="20"/>
        </w:rPr>
        <w:t>En esta investigación se pretende establecer las características del síndrome de burnout  que se presentan con mayor o menor frecuencia entre los alumnos de licenciatura, Reconocer las características cuantitativas de la red de apoyo social de los alumnos  y Determinar la relación que existe entre las variables: red de apoyo social y síndrome de burnout, en los alumnos de licenciatura. Para el logro de estos objetivos se realizó un estudio transversal, correlacional y no experimental a través de la aplicación de la Escala Unidimensional de Burnout Estudiantil y de la indagación de cinco indicadores cuantitativos de la red de apoyo social en 145 alumnos de la Licenciatura en Intervención Educativa de la Universidad Pedagógica de Durango. Sus principales resultados permiten afirma que una red social menor genera un mayor nivel de presencia del síndrome de burnout en los alumnos encuestados.</w:t>
      </w:r>
    </w:p>
    <w:p w:rsidR="00D905C9" w:rsidRPr="006F6A43" w:rsidRDefault="00D905C9" w:rsidP="001540B6">
      <w:pPr>
        <w:spacing w:after="0" w:line="240" w:lineRule="auto"/>
        <w:rPr>
          <w:rFonts w:ascii="Arial" w:hAnsi="Arial" w:cs="Arial"/>
          <w:sz w:val="20"/>
          <w:szCs w:val="20"/>
        </w:rPr>
      </w:pPr>
    </w:p>
    <w:p w:rsidR="001540B6" w:rsidRPr="00D905C9" w:rsidRDefault="001540B6" w:rsidP="001540B6">
      <w:pPr>
        <w:spacing w:after="0" w:line="240" w:lineRule="auto"/>
        <w:rPr>
          <w:rFonts w:ascii="Arial" w:hAnsi="Arial" w:cs="Arial"/>
          <w:sz w:val="24"/>
          <w:szCs w:val="24"/>
        </w:rPr>
      </w:pPr>
      <w:r w:rsidRPr="006F6A43">
        <w:rPr>
          <w:rFonts w:ascii="Arial" w:hAnsi="Arial" w:cs="Arial"/>
          <w:b/>
          <w:sz w:val="20"/>
          <w:szCs w:val="20"/>
        </w:rPr>
        <w:t>Palabras clave:</w:t>
      </w:r>
      <w:r w:rsidR="006F6A43">
        <w:rPr>
          <w:rFonts w:ascii="Arial" w:hAnsi="Arial" w:cs="Arial"/>
          <w:b/>
          <w:sz w:val="20"/>
          <w:szCs w:val="20"/>
        </w:rPr>
        <w:t xml:space="preserve"> </w:t>
      </w:r>
      <w:r w:rsidR="00D905C9" w:rsidRPr="006F6A43">
        <w:rPr>
          <w:rFonts w:ascii="Arial" w:hAnsi="Arial" w:cs="Arial"/>
          <w:sz w:val="20"/>
          <w:szCs w:val="20"/>
        </w:rPr>
        <w:t>apoyo social, red, familia, amigos y síndrome de burnout</w:t>
      </w:r>
      <w:r w:rsidR="00D905C9" w:rsidRPr="00D905C9">
        <w:rPr>
          <w:rFonts w:ascii="Arial" w:hAnsi="Arial" w:cs="Arial"/>
          <w:sz w:val="24"/>
          <w:szCs w:val="24"/>
        </w:rPr>
        <w:t>.</w:t>
      </w:r>
    </w:p>
    <w:p w:rsidR="00190102" w:rsidRPr="003A78E5" w:rsidRDefault="00190102" w:rsidP="001540B6">
      <w:pPr>
        <w:spacing w:after="0" w:line="240" w:lineRule="auto"/>
        <w:rPr>
          <w:rFonts w:ascii="Arial" w:hAnsi="Arial" w:cs="Arial"/>
          <w:sz w:val="24"/>
          <w:szCs w:val="24"/>
          <w:lang w:val="en-US"/>
        </w:rPr>
      </w:pPr>
    </w:p>
    <w:p w:rsidR="00190102" w:rsidRPr="003A78E5" w:rsidRDefault="00190102" w:rsidP="001540B6">
      <w:pPr>
        <w:spacing w:after="0" w:line="240" w:lineRule="auto"/>
        <w:rPr>
          <w:rFonts w:ascii="Arial" w:hAnsi="Arial" w:cs="Arial"/>
          <w:sz w:val="24"/>
          <w:szCs w:val="24"/>
          <w:lang w:val="en-US"/>
        </w:rPr>
      </w:pPr>
    </w:p>
    <w:p w:rsidR="001540B6" w:rsidRPr="009C3E30" w:rsidRDefault="001540B6" w:rsidP="001540B6">
      <w:pPr>
        <w:spacing w:after="0" w:line="240" w:lineRule="auto"/>
        <w:rPr>
          <w:rFonts w:ascii="Arial" w:hAnsi="Arial" w:cs="Arial"/>
          <w:b/>
          <w:sz w:val="24"/>
          <w:szCs w:val="24"/>
        </w:rPr>
      </w:pPr>
      <w:r w:rsidRPr="009C3E30">
        <w:rPr>
          <w:rFonts w:ascii="Arial" w:hAnsi="Arial" w:cs="Arial"/>
          <w:b/>
          <w:sz w:val="24"/>
          <w:szCs w:val="24"/>
        </w:rPr>
        <w:t>Introducción</w:t>
      </w:r>
    </w:p>
    <w:p w:rsidR="001540B6" w:rsidRPr="009C3E30" w:rsidRDefault="001540B6" w:rsidP="001540B6">
      <w:pPr>
        <w:spacing w:after="0" w:line="240" w:lineRule="auto"/>
        <w:rPr>
          <w:rFonts w:ascii="Arial" w:hAnsi="Arial" w:cs="Arial"/>
          <w:b/>
          <w:sz w:val="24"/>
          <w:szCs w:val="24"/>
        </w:rPr>
      </w:pPr>
    </w:p>
    <w:p w:rsidR="001540B6" w:rsidRPr="009C3E30" w:rsidRDefault="001540B6" w:rsidP="001540B6">
      <w:pPr>
        <w:spacing w:after="0" w:line="240" w:lineRule="auto"/>
        <w:jc w:val="both"/>
        <w:rPr>
          <w:rFonts w:ascii="Arial" w:hAnsi="Arial" w:cs="Arial"/>
          <w:sz w:val="24"/>
          <w:szCs w:val="24"/>
        </w:rPr>
      </w:pPr>
      <w:r w:rsidRPr="009C3E30">
        <w:rPr>
          <w:rFonts w:ascii="Arial" w:hAnsi="Arial" w:cs="Arial"/>
          <w:sz w:val="24"/>
          <w:szCs w:val="24"/>
        </w:rPr>
        <w:t>En las últimas décadas, en el campo de la psicología de la salud, se ha mostrado un creciente interés por el apoyo social y sus efectos sobre la salud/enfermedad de las personas, sin embargo</w:t>
      </w:r>
      <w:r w:rsidR="00D23B07" w:rsidRPr="009C3E30">
        <w:rPr>
          <w:rFonts w:ascii="Arial" w:hAnsi="Arial" w:cs="Arial"/>
          <w:sz w:val="24"/>
          <w:szCs w:val="24"/>
        </w:rPr>
        <w:t>, no siempre que se menciona</w:t>
      </w:r>
      <w:r w:rsidRPr="009C3E30">
        <w:rPr>
          <w:rFonts w:ascii="Arial" w:hAnsi="Arial" w:cs="Arial"/>
          <w:sz w:val="24"/>
          <w:szCs w:val="24"/>
        </w:rPr>
        <w:t xml:space="preserve"> el término apoyo social se hace referencia a lo mismo.</w:t>
      </w:r>
    </w:p>
    <w:p w:rsidR="00D23B07" w:rsidRPr="009C3E30" w:rsidRDefault="00D23B07" w:rsidP="00D23B07">
      <w:pPr>
        <w:spacing w:after="0" w:line="240" w:lineRule="auto"/>
        <w:jc w:val="both"/>
        <w:rPr>
          <w:rFonts w:ascii="Arial" w:hAnsi="Arial" w:cs="Arial"/>
          <w:sz w:val="24"/>
          <w:szCs w:val="24"/>
        </w:rPr>
      </w:pPr>
      <w:r w:rsidRPr="009C3E30">
        <w:rPr>
          <w:rFonts w:ascii="Arial" w:hAnsi="Arial" w:cs="Arial"/>
          <w:sz w:val="24"/>
          <w:szCs w:val="24"/>
        </w:rPr>
        <w:tab/>
        <w:t>Para su estudio, el apoyo social puede ser abordado desde dos perspectivas: la cuantitativa-estructura y la cualitativa-funcional (Barra, 2004). Estas perspectivas, aunque son conceptualmente excluyentes, en términos empíricos constituyen partes o facetas  de un mismo fenómeno.</w:t>
      </w:r>
    </w:p>
    <w:p w:rsidR="001540B6" w:rsidRPr="009C3E30" w:rsidRDefault="00D23B07" w:rsidP="006F6A43">
      <w:pPr>
        <w:spacing w:after="0" w:line="240" w:lineRule="auto"/>
        <w:jc w:val="both"/>
        <w:rPr>
          <w:rFonts w:ascii="Arial" w:hAnsi="Arial" w:cs="Arial"/>
          <w:sz w:val="24"/>
          <w:szCs w:val="24"/>
        </w:rPr>
      </w:pPr>
      <w:r w:rsidRPr="009C3E30">
        <w:rPr>
          <w:rFonts w:ascii="Arial" w:hAnsi="Arial" w:cs="Arial"/>
          <w:sz w:val="24"/>
          <w:szCs w:val="24"/>
        </w:rPr>
        <w:tab/>
      </w:r>
    </w:p>
    <w:p w:rsidR="001C532D" w:rsidRPr="009C3E30" w:rsidRDefault="001C532D" w:rsidP="001540B6">
      <w:pPr>
        <w:spacing w:after="0" w:line="240" w:lineRule="auto"/>
        <w:rPr>
          <w:rFonts w:ascii="Arial" w:hAnsi="Arial" w:cs="Arial"/>
          <w:b/>
          <w:sz w:val="24"/>
          <w:szCs w:val="24"/>
        </w:rPr>
      </w:pPr>
      <w:r w:rsidRPr="009C3E30">
        <w:rPr>
          <w:rFonts w:ascii="Arial" w:hAnsi="Arial" w:cs="Arial"/>
          <w:b/>
          <w:sz w:val="24"/>
          <w:szCs w:val="24"/>
        </w:rPr>
        <w:tab/>
        <w:t>Modelo teórico</w:t>
      </w:r>
    </w:p>
    <w:p w:rsidR="001C532D" w:rsidRPr="009C3E30" w:rsidRDefault="001C532D" w:rsidP="001540B6">
      <w:pPr>
        <w:spacing w:after="0" w:line="240" w:lineRule="auto"/>
        <w:rPr>
          <w:rFonts w:ascii="Arial" w:hAnsi="Arial" w:cs="Arial"/>
          <w:sz w:val="24"/>
          <w:szCs w:val="24"/>
        </w:rPr>
      </w:pPr>
    </w:p>
    <w:p w:rsidR="00DB6EFA" w:rsidRPr="009C3E30" w:rsidRDefault="00DB6EFA" w:rsidP="00DB6EFA">
      <w:pPr>
        <w:spacing w:after="0" w:line="240" w:lineRule="auto"/>
        <w:rPr>
          <w:rFonts w:ascii="Arial" w:hAnsi="Arial" w:cs="Arial"/>
          <w:sz w:val="24"/>
          <w:szCs w:val="24"/>
        </w:rPr>
      </w:pPr>
      <w:r w:rsidRPr="009C3E30">
        <w:rPr>
          <w:rFonts w:ascii="Arial" w:hAnsi="Arial" w:cs="Arial"/>
          <w:sz w:val="24"/>
          <w:szCs w:val="24"/>
        </w:rPr>
        <w:t>Para explicar la relación entre el apoyo social y la salud/enfermedad de las personas se han generado dos modelos: el de efecto directo y el d</w:t>
      </w:r>
      <w:r w:rsidR="006C397E">
        <w:rPr>
          <w:rFonts w:ascii="Arial" w:hAnsi="Arial" w:cs="Arial"/>
          <w:sz w:val="24"/>
          <w:szCs w:val="24"/>
        </w:rPr>
        <w:t>el efecto amortiguador (Barrón &amp;</w:t>
      </w:r>
      <w:r w:rsidRPr="009C3E30">
        <w:rPr>
          <w:rFonts w:ascii="Arial" w:hAnsi="Arial" w:cs="Arial"/>
          <w:sz w:val="24"/>
          <w:szCs w:val="24"/>
        </w:rPr>
        <w:t xml:space="preserve"> Sánchez, 2001). La hipóte</w:t>
      </w:r>
      <w:r w:rsidR="00952C43" w:rsidRPr="009C3E30">
        <w:rPr>
          <w:rFonts w:ascii="Arial" w:hAnsi="Arial" w:cs="Arial"/>
          <w:sz w:val="24"/>
          <w:szCs w:val="24"/>
        </w:rPr>
        <w:t>sis del efecto directo plantea</w:t>
      </w:r>
      <w:r w:rsidRPr="009C3E30">
        <w:rPr>
          <w:rFonts w:ascii="Arial" w:hAnsi="Arial" w:cs="Arial"/>
          <w:sz w:val="24"/>
          <w:szCs w:val="24"/>
        </w:rPr>
        <w:t xml:space="preserve"> que el apoyo social tiene un efecto</w:t>
      </w:r>
      <w:r w:rsidR="00952C43" w:rsidRPr="009C3E30">
        <w:rPr>
          <w:rFonts w:ascii="Arial" w:hAnsi="Arial" w:cs="Arial"/>
          <w:sz w:val="24"/>
          <w:szCs w:val="24"/>
        </w:rPr>
        <w:t xml:space="preserve"> directo</w:t>
      </w:r>
      <w:r w:rsidR="006C397E">
        <w:rPr>
          <w:rFonts w:ascii="Arial" w:hAnsi="Arial" w:cs="Arial"/>
          <w:sz w:val="24"/>
          <w:szCs w:val="24"/>
        </w:rPr>
        <w:t>, valga la redundancia,</w:t>
      </w:r>
      <w:r w:rsidR="00952C43" w:rsidRPr="009C3E30">
        <w:rPr>
          <w:rFonts w:ascii="Arial" w:hAnsi="Arial" w:cs="Arial"/>
          <w:sz w:val="24"/>
          <w:szCs w:val="24"/>
        </w:rPr>
        <w:t xml:space="preserve"> sobre la salud de las personas y este efecto se da </w:t>
      </w:r>
      <w:r w:rsidRPr="009C3E30">
        <w:rPr>
          <w:rFonts w:ascii="Arial" w:hAnsi="Arial" w:cs="Arial"/>
          <w:sz w:val="24"/>
          <w:szCs w:val="24"/>
        </w:rPr>
        <w:t>de manera independiente al estrés. Mientras que la hipótesi</w:t>
      </w:r>
      <w:r w:rsidR="00952C43" w:rsidRPr="009C3E30">
        <w:rPr>
          <w:rFonts w:ascii="Arial" w:hAnsi="Arial" w:cs="Arial"/>
          <w:sz w:val="24"/>
          <w:szCs w:val="24"/>
        </w:rPr>
        <w:t>s del efecto amortiguador sostiene</w:t>
      </w:r>
      <w:r w:rsidRPr="009C3E30">
        <w:rPr>
          <w:rFonts w:ascii="Arial" w:hAnsi="Arial" w:cs="Arial"/>
          <w:sz w:val="24"/>
          <w:szCs w:val="24"/>
        </w:rPr>
        <w:t xml:space="preserve"> que el </w:t>
      </w:r>
      <w:r w:rsidR="00952C43" w:rsidRPr="009C3E30">
        <w:rPr>
          <w:rFonts w:ascii="Arial" w:hAnsi="Arial" w:cs="Arial"/>
          <w:sz w:val="24"/>
          <w:szCs w:val="24"/>
        </w:rPr>
        <w:t>apoyo social es un moderador del papel que puede jugar el estrés en la salud/enfermedad de las personas</w:t>
      </w:r>
      <w:r w:rsidRPr="009C3E30">
        <w:rPr>
          <w:rFonts w:ascii="Arial" w:hAnsi="Arial" w:cs="Arial"/>
          <w:sz w:val="24"/>
          <w:szCs w:val="24"/>
        </w:rPr>
        <w:t xml:space="preserve">. </w:t>
      </w:r>
      <w:r w:rsidR="00952C43" w:rsidRPr="009C3E30">
        <w:rPr>
          <w:rFonts w:ascii="Arial" w:hAnsi="Arial" w:cs="Arial"/>
          <w:sz w:val="24"/>
          <w:szCs w:val="24"/>
        </w:rPr>
        <w:t>La atención de la presente investigación está centrada en e</w:t>
      </w:r>
      <w:r w:rsidRPr="009C3E30">
        <w:rPr>
          <w:rFonts w:ascii="Arial" w:hAnsi="Arial" w:cs="Arial"/>
          <w:sz w:val="24"/>
          <w:szCs w:val="24"/>
        </w:rPr>
        <w:t>sta s</w:t>
      </w:r>
      <w:r w:rsidR="00952C43" w:rsidRPr="009C3E30">
        <w:rPr>
          <w:rFonts w:ascii="Arial" w:hAnsi="Arial" w:cs="Arial"/>
          <w:sz w:val="24"/>
          <w:szCs w:val="24"/>
        </w:rPr>
        <w:t>egunda hipótesis</w:t>
      </w:r>
      <w:r w:rsidRPr="009C3E30">
        <w:rPr>
          <w:rFonts w:ascii="Arial" w:hAnsi="Arial" w:cs="Arial"/>
          <w:sz w:val="24"/>
          <w:szCs w:val="24"/>
        </w:rPr>
        <w:t>.</w:t>
      </w:r>
    </w:p>
    <w:p w:rsidR="00DB6EFA" w:rsidRPr="009C3E30" w:rsidRDefault="00952C43" w:rsidP="00DB6EFA">
      <w:pPr>
        <w:spacing w:after="0" w:line="240" w:lineRule="auto"/>
        <w:rPr>
          <w:rFonts w:ascii="Arial" w:hAnsi="Arial" w:cs="Arial"/>
          <w:sz w:val="24"/>
          <w:szCs w:val="24"/>
        </w:rPr>
      </w:pPr>
      <w:r w:rsidRPr="009C3E30">
        <w:rPr>
          <w:rFonts w:ascii="Arial" w:hAnsi="Arial" w:cs="Arial"/>
          <w:sz w:val="24"/>
          <w:szCs w:val="24"/>
        </w:rPr>
        <w:tab/>
        <w:t xml:space="preserve">Cohen y </w:t>
      </w:r>
      <w:proofErr w:type="spellStart"/>
      <w:r w:rsidRPr="009C3E30">
        <w:rPr>
          <w:rFonts w:ascii="Arial" w:hAnsi="Arial" w:cs="Arial"/>
          <w:sz w:val="24"/>
          <w:szCs w:val="24"/>
        </w:rPr>
        <w:t>Wills</w:t>
      </w:r>
      <w:proofErr w:type="spellEnd"/>
      <w:r w:rsidRPr="009C3E30">
        <w:rPr>
          <w:rFonts w:ascii="Arial" w:hAnsi="Arial" w:cs="Arial"/>
          <w:sz w:val="24"/>
          <w:szCs w:val="24"/>
        </w:rPr>
        <w:t xml:space="preserve"> (1985) plantean la hipótesis de</w:t>
      </w:r>
      <w:r w:rsidR="00DB6EFA" w:rsidRPr="009C3E30">
        <w:rPr>
          <w:rFonts w:ascii="Arial" w:hAnsi="Arial" w:cs="Arial"/>
          <w:sz w:val="24"/>
          <w:szCs w:val="24"/>
        </w:rPr>
        <w:t xml:space="preserve"> que el apoyo social puede jugar un papel central en dos diferentes puntos de la cadena causal que relaciona el estrés y la enfermedad (Figura 1). </w:t>
      </w:r>
    </w:p>
    <w:p w:rsidR="00967F2A" w:rsidRPr="009C3E30" w:rsidRDefault="00967F2A" w:rsidP="00DB6EFA">
      <w:pPr>
        <w:spacing w:after="0" w:line="240" w:lineRule="auto"/>
        <w:rPr>
          <w:rFonts w:ascii="Arial" w:hAnsi="Arial" w:cs="Arial"/>
          <w:sz w:val="24"/>
          <w:szCs w:val="24"/>
        </w:rPr>
      </w:pPr>
    </w:p>
    <w:p w:rsidR="00967F2A" w:rsidRPr="009C3E30" w:rsidRDefault="00967F2A" w:rsidP="00DB6EFA">
      <w:pPr>
        <w:spacing w:after="0" w:line="240" w:lineRule="auto"/>
        <w:rPr>
          <w:rFonts w:ascii="Arial" w:hAnsi="Arial" w:cs="Arial"/>
          <w:sz w:val="24"/>
          <w:szCs w:val="24"/>
        </w:rPr>
      </w:pPr>
      <w:r w:rsidRPr="009C3E30">
        <w:rPr>
          <w:rFonts w:ascii="Arial" w:hAnsi="Arial" w:cs="Arial"/>
          <w:noProof/>
          <w:sz w:val="24"/>
          <w:szCs w:val="24"/>
          <w:lang w:eastAsia="es-MX"/>
        </w:rPr>
        <w:drawing>
          <wp:inline distT="0" distB="0" distL="0" distR="0">
            <wp:extent cx="5612130" cy="4209415"/>
            <wp:effectExtent l="0" t="0" r="7620" b="635"/>
            <wp:docPr id="1" name="0 Imagen" descr="model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elo.jpg"/>
                    <pic:cNvPicPr/>
                  </pic:nvPicPr>
                  <pic:blipFill>
                    <a:blip r:embed="rId6" cstate="print"/>
                    <a:stretch>
                      <a:fillRect/>
                    </a:stretch>
                  </pic:blipFill>
                  <pic:spPr>
                    <a:xfrm>
                      <a:off x="0" y="0"/>
                      <a:ext cx="5612130" cy="4209415"/>
                    </a:xfrm>
                    <a:prstGeom prst="rect">
                      <a:avLst/>
                    </a:prstGeom>
                  </pic:spPr>
                </pic:pic>
              </a:graphicData>
            </a:graphic>
          </wp:inline>
        </w:drawing>
      </w:r>
    </w:p>
    <w:p w:rsidR="00967F2A" w:rsidRPr="009C3E30" w:rsidRDefault="00967F2A" w:rsidP="00967F2A">
      <w:pPr>
        <w:spacing w:after="0" w:line="240" w:lineRule="auto"/>
        <w:rPr>
          <w:rFonts w:ascii="Arial" w:hAnsi="Arial" w:cs="Arial"/>
          <w:b/>
          <w:sz w:val="24"/>
          <w:szCs w:val="24"/>
        </w:rPr>
      </w:pPr>
      <w:r w:rsidRPr="009C3E30">
        <w:rPr>
          <w:rFonts w:ascii="Arial" w:hAnsi="Arial" w:cs="Arial"/>
          <w:b/>
          <w:sz w:val="24"/>
          <w:szCs w:val="24"/>
        </w:rPr>
        <w:t>Figura 1. Hipótesis del efecto amortiguador (adapt</w:t>
      </w:r>
      <w:r w:rsidR="006C397E">
        <w:rPr>
          <w:rFonts w:ascii="Arial" w:hAnsi="Arial" w:cs="Arial"/>
          <w:b/>
          <w:sz w:val="24"/>
          <w:szCs w:val="24"/>
        </w:rPr>
        <w:t>ación personal basada en Cohen &amp;</w:t>
      </w:r>
      <w:proofErr w:type="spellStart"/>
      <w:r w:rsidRPr="009C3E30">
        <w:rPr>
          <w:rFonts w:ascii="Arial" w:hAnsi="Arial" w:cs="Arial"/>
          <w:b/>
          <w:sz w:val="24"/>
          <w:szCs w:val="24"/>
        </w:rPr>
        <w:t>Wills</w:t>
      </w:r>
      <w:proofErr w:type="spellEnd"/>
      <w:r w:rsidRPr="009C3E30">
        <w:rPr>
          <w:rFonts w:ascii="Arial" w:hAnsi="Arial" w:cs="Arial"/>
          <w:b/>
          <w:sz w:val="24"/>
          <w:szCs w:val="24"/>
        </w:rPr>
        <w:t>, 1985)</w:t>
      </w:r>
    </w:p>
    <w:p w:rsidR="00967F2A" w:rsidRPr="009C3E30" w:rsidRDefault="00967F2A" w:rsidP="00DB6EFA">
      <w:pPr>
        <w:spacing w:after="0" w:line="240" w:lineRule="auto"/>
        <w:rPr>
          <w:rFonts w:ascii="Arial" w:hAnsi="Arial" w:cs="Arial"/>
          <w:sz w:val="24"/>
          <w:szCs w:val="24"/>
        </w:rPr>
      </w:pPr>
    </w:p>
    <w:p w:rsidR="00DB6EFA" w:rsidRPr="009C3E30" w:rsidRDefault="00952C43" w:rsidP="00DB6EFA">
      <w:pPr>
        <w:spacing w:after="0" w:line="240" w:lineRule="auto"/>
        <w:rPr>
          <w:rFonts w:ascii="Arial" w:hAnsi="Arial" w:cs="Arial"/>
          <w:sz w:val="24"/>
          <w:szCs w:val="24"/>
        </w:rPr>
      </w:pPr>
      <w:r w:rsidRPr="009C3E30">
        <w:rPr>
          <w:rFonts w:ascii="Arial" w:hAnsi="Arial" w:cs="Arial"/>
          <w:sz w:val="24"/>
          <w:szCs w:val="24"/>
        </w:rPr>
        <w:tab/>
        <w:t>En el primer caso</w:t>
      </w:r>
      <w:r w:rsidR="00DB6EFA" w:rsidRPr="009C3E30">
        <w:rPr>
          <w:rFonts w:ascii="Arial" w:hAnsi="Arial" w:cs="Arial"/>
          <w:sz w:val="24"/>
          <w:szCs w:val="24"/>
        </w:rPr>
        <w:t xml:space="preserve">, el apoyo </w:t>
      </w:r>
      <w:r w:rsidRPr="009C3E30">
        <w:rPr>
          <w:rFonts w:ascii="Arial" w:hAnsi="Arial" w:cs="Arial"/>
          <w:sz w:val="24"/>
          <w:szCs w:val="24"/>
        </w:rPr>
        <w:t xml:space="preserve">social </w:t>
      </w:r>
      <w:r w:rsidR="00DB6EFA" w:rsidRPr="009C3E30">
        <w:rPr>
          <w:rFonts w:ascii="Arial" w:hAnsi="Arial" w:cs="Arial"/>
          <w:sz w:val="24"/>
          <w:szCs w:val="24"/>
        </w:rPr>
        <w:t>puede intervenir entre el evento potencialmente estresante y las reacciones o síntomas del estrés mediante la transformación  del proceso inicial de valoración del evento</w:t>
      </w:r>
      <w:r w:rsidRPr="009C3E30">
        <w:rPr>
          <w:rFonts w:ascii="Arial" w:hAnsi="Arial" w:cs="Arial"/>
          <w:sz w:val="24"/>
          <w:szCs w:val="24"/>
        </w:rPr>
        <w:t xml:space="preserve">; </w:t>
      </w:r>
      <w:r w:rsidR="00F74464" w:rsidRPr="009C3E30">
        <w:rPr>
          <w:rFonts w:ascii="Arial" w:hAnsi="Arial" w:cs="Arial"/>
          <w:sz w:val="24"/>
          <w:szCs w:val="24"/>
        </w:rPr>
        <w:t>esta situación se genera</w:t>
      </w:r>
      <w:r w:rsidR="00DB6EFA" w:rsidRPr="009C3E30">
        <w:rPr>
          <w:rFonts w:ascii="Arial" w:hAnsi="Arial" w:cs="Arial"/>
          <w:sz w:val="24"/>
          <w:szCs w:val="24"/>
        </w:rPr>
        <w:t xml:space="preserve">al percibir </w:t>
      </w:r>
      <w:r w:rsidRPr="009C3E30">
        <w:rPr>
          <w:rFonts w:ascii="Arial" w:hAnsi="Arial" w:cs="Arial"/>
          <w:sz w:val="24"/>
          <w:szCs w:val="24"/>
        </w:rPr>
        <w:t xml:space="preserve">la persona </w:t>
      </w:r>
      <w:r w:rsidR="00DB6EFA" w:rsidRPr="009C3E30">
        <w:rPr>
          <w:rFonts w:ascii="Arial" w:hAnsi="Arial" w:cs="Arial"/>
          <w:sz w:val="24"/>
          <w:szCs w:val="24"/>
        </w:rPr>
        <w:t>que otros pueden y van a proporcionar recursos necesarios para enfrentar la situ</w:t>
      </w:r>
      <w:r w:rsidR="00F74464" w:rsidRPr="009C3E30">
        <w:rPr>
          <w:rFonts w:ascii="Arial" w:hAnsi="Arial" w:cs="Arial"/>
          <w:sz w:val="24"/>
          <w:szCs w:val="24"/>
        </w:rPr>
        <w:t xml:space="preserve">ación potencialmente estresante. Con esta ayuda las personas </w:t>
      </w:r>
      <w:r w:rsidR="00DB6EFA" w:rsidRPr="009C3E30">
        <w:rPr>
          <w:rFonts w:ascii="Arial" w:hAnsi="Arial" w:cs="Arial"/>
          <w:sz w:val="24"/>
          <w:szCs w:val="24"/>
        </w:rPr>
        <w:t xml:space="preserve">pueden redefinir o amortiguar </w:t>
      </w:r>
      <w:r w:rsidR="00F74464" w:rsidRPr="009C3E30">
        <w:rPr>
          <w:rFonts w:ascii="Arial" w:hAnsi="Arial" w:cs="Arial"/>
          <w:sz w:val="24"/>
          <w:szCs w:val="24"/>
        </w:rPr>
        <w:t xml:space="preserve">su percepción sobre </w:t>
      </w:r>
      <w:r w:rsidR="00DB6EFA" w:rsidRPr="009C3E30">
        <w:rPr>
          <w:rFonts w:ascii="Arial" w:hAnsi="Arial" w:cs="Arial"/>
          <w:sz w:val="24"/>
          <w:szCs w:val="24"/>
        </w:rPr>
        <w:t>el potencial de los daños que plantea la situación y/o reforzar la propia capacidad percibida</w:t>
      </w:r>
      <w:r w:rsidR="00F74464" w:rsidRPr="009C3E30">
        <w:rPr>
          <w:rFonts w:ascii="Arial" w:hAnsi="Arial" w:cs="Arial"/>
          <w:sz w:val="24"/>
          <w:szCs w:val="24"/>
        </w:rPr>
        <w:t xml:space="preserve"> para hacer frente a la demanda</w:t>
      </w:r>
      <w:r w:rsidR="00DB6EFA" w:rsidRPr="009C3E30">
        <w:rPr>
          <w:rFonts w:ascii="Arial" w:hAnsi="Arial" w:cs="Arial"/>
          <w:sz w:val="24"/>
          <w:szCs w:val="24"/>
        </w:rPr>
        <w:t xml:space="preserve"> y</w:t>
      </w:r>
      <w:r w:rsidR="00F74464" w:rsidRPr="009C3E30">
        <w:rPr>
          <w:rFonts w:ascii="Arial" w:hAnsi="Arial" w:cs="Arial"/>
          <w:sz w:val="24"/>
          <w:szCs w:val="24"/>
        </w:rPr>
        <w:t>,</w:t>
      </w:r>
      <w:r w:rsidR="00DB6EFA" w:rsidRPr="009C3E30">
        <w:rPr>
          <w:rFonts w:ascii="Arial" w:hAnsi="Arial" w:cs="Arial"/>
          <w:sz w:val="24"/>
          <w:szCs w:val="24"/>
        </w:rPr>
        <w:t xml:space="preserve"> por lo tanto</w:t>
      </w:r>
      <w:r w:rsidR="00F74464" w:rsidRPr="009C3E30">
        <w:rPr>
          <w:rFonts w:ascii="Arial" w:hAnsi="Arial" w:cs="Arial"/>
          <w:sz w:val="24"/>
          <w:szCs w:val="24"/>
        </w:rPr>
        <w:t>,</w:t>
      </w:r>
      <w:r w:rsidR="00DB6EFA" w:rsidRPr="009C3E30">
        <w:rPr>
          <w:rFonts w:ascii="Arial" w:hAnsi="Arial" w:cs="Arial"/>
          <w:sz w:val="24"/>
          <w:szCs w:val="24"/>
        </w:rPr>
        <w:t xml:space="preserve"> impe</w:t>
      </w:r>
      <w:r w:rsidR="00967F2A" w:rsidRPr="009C3E30">
        <w:rPr>
          <w:rFonts w:ascii="Arial" w:hAnsi="Arial" w:cs="Arial"/>
          <w:sz w:val="24"/>
          <w:szCs w:val="24"/>
        </w:rPr>
        <w:t>dir que una situación específica</w:t>
      </w:r>
      <w:r w:rsidR="00DB6EFA" w:rsidRPr="009C3E30">
        <w:rPr>
          <w:rFonts w:ascii="Arial" w:hAnsi="Arial" w:cs="Arial"/>
          <w:sz w:val="24"/>
          <w:szCs w:val="24"/>
        </w:rPr>
        <w:t xml:space="preserve"> sea valorada como altamente estresante. </w:t>
      </w:r>
    </w:p>
    <w:p w:rsidR="001C532D" w:rsidRPr="009C3E30" w:rsidRDefault="00F74464" w:rsidP="00DB6EFA">
      <w:pPr>
        <w:spacing w:after="0" w:line="240" w:lineRule="auto"/>
        <w:rPr>
          <w:rFonts w:ascii="Arial" w:hAnsi="Arial" w:cs="Arial"/>
          <w:sz w:val="24"/>
          <w:szCs w:val="24"/>
        </w:rPr>
      </w:pPr>
      <w:r w:rsidRPr="009C3E30">
        <w:rPr>
          <w:rFonts w:ascii="Arial" w:hAnsi="Arial" w:cs="Arial"/>
          <w:sz w:val="24"/>
          <w:szCs w:val="24"/>
        </w:rPr>
        <w:tab/>
      </w:r>
      <w:r w:rsidR="00DB6EFA" w:rsidRPr="009C3E30">
        <w:rPr>
          <w:rFonts w:ascii="Arial" w:hAnsi="Arial" w:cs="Arial"/>
          <w:sz w:val="24"/>
          <w:szCs w:val="24"/>
        </w:rPr>
        <w:t>En</w:t>
      </w:r>
      <w:r w:rsidRPr="009C3E30">
        <w:rPr>
          <w:rFonts w:ascii="Arial" w:hAnsi="Arial" w:cs="Arial"/>
          <w:sz w:val="24"/>
          <w:szCs w:val="24"/>
        </w:rPr>
        <w:t xml:space="preserve"> el segundo caso</w:t>
      </w:r>
      <w:r w:rsidR="00DB6EFA" w:rsidRPr="009C3E30">
        <w:rPr>
          <w:rFonts w:ascii="Arial" w:hAnsi="Arial" w:cs="Arial"/>
          <w:sz w:val="24"/>
          <w:szCs w:val="24"/>
        </w:rPr>
        <w:t xml:space="preserve">, el apoyo social puede intervenir entre la experiencia estresante, caracterizada por la aparición de múltiples síntomas, y la aparición de </w:t>
      </w:r>
      <w:r w:rsidR="00967F2A" w:rsidRPr="009C3E30">
        <w:rPr>
          <w:rFonts w:ascii="Arial" w:hAnsi="Arial" w:cs="Arial"/>
          <w:sz w:val="24"/>
          <w:szCs w:val="24"/>
        </w:rPr>
        <w:t>indicadores de enfermedad en</w:t>
      </w:r>
      <w:r w:rsidR="00DB6EFA" w:rsidRPr="009C3E30">
        <w:rPr>
          <w:rFonts w:ascii="Arial" w:hAnsi="Arial" w:cs="Arial"/>
          <w:sz w:val="24"/>
          <w:szCs w:val="24"/>
        </w:rPr>
        <w:t xml:space="preserve"> la</w:t>
      </w:r>
      <w:r w:rsidR="00967F2A" w:rsidRPr="009C3E30">
        <w:rPr>
          <w:rFonts w:ascii="Arial" w:hAnsi="Arial" w:cs="Arial"/>
          <w:sz w:val="24"/>
          <w:szCs w:val="24"/>
        </w:rPr>
        <w:t>s</w:t>
      </w:r>
      <w:r w:rsidR="00DB6EFA" w:rsidRPr="009C3E30">
        <w:rPr>
          <w:rFonts w:ascii="Arial" w:hAnsi="Arial" w:cs="Arial"/>
          <w:sz w:val="24"/>
          <w:szCs w:val="24"/>
        </w:rPr>
        <w:t xml:space="preserve"> persona</w:t>
      </w:r>
      <w:r w:rsidR="00967F2A" w:rsidRPr="009C3E30">
        <w:rPr>
          <w:rFonts w:ascii="Arial" w:hAnsi="Arial" w:cs="Arial"/>
          <w:sz w:val="24"/>
          <w:szCs w:val="24"/>
        </w:rPr>
        <w:t>s</w:t>
      </w:r>
      <w:r w:rsidR="00DB6EFA" w:rsidRPr="009C3E30">
        <w:rPr>
          <w:rFonts w:ascii="Arial" w:hAnsi="Arial" w:cs="Arial"/>
          <w:sz w:val="24"/>
          <w:szCs w:val="24"/>
        </w:rPr>
        <w:t>. Esta intervención se da mediante la reducción o la eliminación de los síntomas del estrés o influyendo directamente en los procesos fisiológicos subyacentes a esos síntomas.</w:t>
      </w:r>
    </w:p>
    <w:p w:rsidR="00F43084" w:rsidRDefault="00F43084" w:rsidP="00DB6EFA">
      <w:pPr>
        <w:spacing w:after="0" w:line="240" w:lineRule="auto"/>
        <w:rPr>
          <w:rFonts w:ascii="Arial" w:hAnsi="Arial" w:cs="Arial"/>
          <w:sz w:val="24"/>
          <w:szCs w:val="24"/>
        </w:rPr>
      </w:pPr>
      <w:r w:rsidRPr="009C3E30">
        <w:rPr>
          <w:rFonts w:ascii="Arial" w:hAnsi="Arial" w:cs="Arial"/>
          <w:sz w:val="24"/>
          <w:szCs w:val="24"/>
        </w:rPr>
        <w:tab/>
        <w:t xml:space="preserve">En </w:t>
      </w:r>
      <w:r w:rsidR="00E448AE" w:rsidRPr="009C3E30">
        <w:rPr>
          <w:rFonts w:ascii="Arial" w:hAnsi="Arial" w:cs="Arial"/>
          <w:sz w:val="24"/>
          <w:szCs w:val="24"/>
        </w:rPr>
        <w:t xml:space="preserve">la presente investigación los autores consideraron necesario realizar un agregado  a la cadena causal subyacente en esta hipótesis; este agregado sería la variable </w:t>
      </w:r>
      <w:r w:rsidRPr="009C3E30">
        <w:rPr>
          <w:rFonts w:ascii="Arial" w:hAnsi="Arial" w:cs="Arial"/>
          <w:sz w:val="24"/>
          <w:szCs w:val="24"/>
        </w:rPr>
        <w:t>Síndrome de Burnout</w:t>
      </w:r>
      <w:r w:rsidR="00E448AE" w:rsidRPr="009C3E30">
        <w:rPr>
          <w:rFonts w:ascii="Arial" w:hAnsi="Arial" w:cs="Arial"/>
          <w:sz w:val="24"/>
          <w:szCs w:val="24"/>
        </w:rPr>
        <w:t>, la cual</w:t>
      </w:r>
      <w:r w:rsidR="00C41418" w:rsidRPr="009C3E30">
        <w:rPr>
          <w:rFonts w:ascii="Arial" w:hAnsi="Arial" w:cs="Arial"/>
          <w:sz w:val="24"/>
          <w:szCs w:val="24"/>
        </w:rPr>
        <w:t xml:space="preserve"> se ubicaría  entre los síntomas y la enfermedad(Figura 2)</w:t>
      </w:r>
      <w:r w:rsidRPr="009C3E30">
        <w:rPr>
          <w:rFonts w:ascii="Arial" w:hAnsi="Arial" w:cs="Arial"/>
          <w:sz w:val="24"/>
          <w:szCs w:val="24"/>
        </w:rPr>
        <w:t>.</w:t>
      </w:r>
    </w:p>
    <w:p w:rsidR="00190102" w:rsidRPr="006F6A43" w:rsidRDefault="00190102" w:rsidP="006F6A43">
      <w:pPr>
        <w:spacing w:after="0" w:line="240" w:lineRule="auto"/>
        <w:ind w:firstLine="708"/>
        <w:rPr>
          <w:rFonts w:ascii="Arial" w:hAnsi="Arial" w:cs="Arial"/>
          <w:sz w:val="24"/>
          <w:szCs w:val="24"/>
        </w:rPr>
      </w:pPr>
      <w:r w:rsidRPr="006F6A43">
        <w:rPr>
          <w:rFonts w:ascii="Arial" w:hAnsi="Arial" w:cs="Arial"/>
          <w:sz w:val="24"/>
          <w:szCs w:val="24"/>
        </w:rPr>
        <w:lastRenderedPageBreak/>
        <w:t>El desarrollo teórico-conceptual de este síndrome se bifurca desde 1981 en dos enfoques conceptuales diferente</w:t>
      </w:r>
      <w:r w:rsidR="00E83037" w:rsidRPr="006F6A43">
        <w:rPr>
          <w:rFonts w:ascii="Arial" w:hAnsi="Arial" w:cs="Arial"/>
          <w:sz w:val="24"/>
          <w:szCs w:val="24"/>
        </w:rPr>
        <w:t>s: el primer enfoque, tiene su</w:t>
      </w:r>
      <w:r w:rsidRPr="006F6A43">
        <w:rPr>
          <w:rFonts w:ascii="Arial" w:hAnsi="Arial" w:cs="Arial"/>
          <w:sz w:val="24"/>
          <w:szCs w:val="24"/>
        </w:rPr>
        <w:t xml:space="preserve"> </w:t>
      </w:r>
      <w:r w:rsidR="006F6A43" w:rsidRPr="006F6A43">
        <w:rPr>
          <w:rFonts w:ascii="Arial" w:hAnsi="Arial" w:cs="Arial"/>
          <w:sz w:val="24"/>
          <w:szCs w:val="24"/>
        </w:rPr>
        <w:t xml:space="preserve">origen </w:t>
      </w:r>
      <w:r w:rsidRPr="006F6A43">
        <w:rPr>
          <w:rFonts w:ascii="Arial" w:hAnsi="Arial" w:cs="Arial"/>
          <w:sz w:val="24"/>
          <w:szCs w:val="24"/>
        </w:rPr>
        <w:t xml:space="preserve">en el trabajo de </w:t>
      </w:r>
      <w:proofErr w:type="spellStart"/>
      <w:r w:rsidRPr="006F6A43">
        <w:rPr>
          <w:rFonts w:ascii="Arial" w:hAnsi="Arial" w:cs="Arial"/>
          <w:sz w:val="24"/>
          <w:szCs w:val="24"/>
        </w:rPr>
        <w:t>Maslach</w:t>
      </w:r>
      <w:proofErr w:type="spellEnd"/>
      <w:r w:rsidRPr="006F6A43">
        <w:rPr>
          <w:rFonts w:ascii="Arial" w:hAnsi="Arial" w:cs="Arial"/>
          <w:sz w:val="24"/>
          <w:szCs w:val="24"/>
        </w:rPr>
        <w:t xml:space="preserve"> y Jackson (1981) y el segundo enfoque, se inicia con el trabajo d</w:t>
      </w:r>
      <w:r w:rsidR="006F6A43" w:rsidRPr="006F6A43">
        <w:rPr>
          <w:rFonts w:ascii="Arial" w:hAnsi="Arial" w:cs="Arial"/>
          <w:sz w:val="24"/>
          <w:szCs w:val="24"/>
        </w:rPr>
        <w:t xml:space="preserve">e Pines, </w:t>
      </w:r>
      <w:proofErr w:type="spellStart"/>
      <w:r w:rsidR="006F6A43" w:rsidRPr="006F6A43">
        <w:rPr>
          <w:rFonts w:ascii="Arial" w:hAnsi="Arial" w:cs="Arial"/>
          <w:sz w:val="24"/>
          <w:szCs w:val="24"/>
        </w:rPr>
        <w:t>Aronson</w:t>
      </w:r>
      <w:proofErr w:type="spellEnd"/>
      <w:r w:rsidR="006F6A43" w:rsidRPr="006F6A43">
        <w:rPr>
          <w:rFonts w:ascii="Arial" w:hAnsi="Arial" w:cs="Arial"/>
          <w:sz w:val="24"/>
          <w:szCs w:val="24"/>
        </w:rPr>
        <w:t xml:space="preserve"> y </w:t>
      </w:r>
      <w:proofErr w:type="spellStart"/>
      <w:r w:rsidR="006F6A43" w:rsidRPr="006F6A43">
        <w:rPr>
          <w:rFonts w:ascii="Arial" w:hAnsi="Arial" w:cs="Arial"/>
          <w:sz w:val="24"/>
          <w:szCs w:val="24"/>
        </w:rPr>
        <w:t>Kafry</w:t>
      </w:r>
      <w:proofErr w:type="spellEnd"/>
      <w:r w:rsidR="006F6A43" w:rsidRPr="006F6A43">
        <w:rPr>
          <w:rFonts w:ascii="Arial" w:hAnsi="Arial" w:cs="Arial"/>
          <w:sz w:val="24"/>
          <w:szCs w:val="24"/>
        </w:rPr>
        <w:t xml:space="preserve"> (1981). </w:t>
      </w:r>
      <w:r w:rsidRPr="006F6A43">
        <w:rPr>
          <w:rFonts w:ascii="Arial" w:hAnsi="Arial" w:cs="Arial"/>
          <w:sz w:val="24"/>
          <w:szCs w:val="24"/>
        </w:rPr>
        <w:t xml:space="preserve">En este artículo se asume el segundo enfoque conceptual que conduce a considerarlo un constructo unidimensional; lo cual permite definir al Síndrome de </w:t>
      </w:r>
      <w:proofErr w:type="spellStart"/>
      <w:r w:rsidRPr="006F6A43">
        <w:rPr>
          <w:rFonts w:ascii="Arial" w:hAnsi="Arial" w:cs="Arial"/>
          <w:sz w:val="24"/>
          <w:szCs w:val="24"/>
        </w:rPr>
        <w:t>Burnout</w:t>
      </w:r>
      <w:proofErr w:type="spellEnd"/>
      <w:r w:rsidRPr="006F6A43">
        <w:rPr>
          <w:rFonts w:ascii="Arial" w:hAnsi="Arial" w:cs="Arial"/>
          <w:sz w:val="24"/>
          <w:szCs w:val="24"/>
        </w:rPr>
        <w:t xml:space="preserve"> como un estado de agotamiento físico, emocional y cognitivo producido por el involucramiento prolongado en situaciones generadoras de estrés.</w:t>
      </w:r>
    </w:p>
    <w:p w:rsidR="00C41418" w:rsidRPr="004C2E42" w:rsidRDefault="00C41418" w:rsidP="00DB6EFA">
      <w:pPr>
        <w:spacing w:after="0" w:line="240" w:lineRule="auto"/>
        <w:rPr>
          <w:rFonts w:ascii="Arial" w:hAnsi="Arial" w:cs="Arial"/>
          <w:color w:val="FF0000"/>
          <w:sz w:val="24"/>
          <w:szCs w:val="24"/>
        </w:rPr>
      </w:pPr>
    </w:p>
    <w:p w:rsidR="00C41418" w:rsidRDefault="00C41418" w:rsidP="00DB6EFA">
      <w:pPr>
        <w:spacing w:after="0" w:line="240" w:lineRule="auto"/>
        <w:rPr>
          <w:rFonts w:ascii="Arial" w:hAnsi="Arial" w:cs="Arial"/>
          <w:sz w:val="24"/>
          <w:szCs w:val="24"/>
        </w:rPr>
      </w:pPr>
      <w:r>
        <w:rPr>
          <w:rFonts w:ascii="Arial" w:hAnsi="Arial" w:cs="Arial"/>
          <w:noProof/>
          <w:sz w:val="24"/>
          <w:szCs w:val="24"/>
          <w:lang w:eastAsia="es-MX"/>
        </w:rPr>
        <w:drawing>
          <wp:inline distT="0" distB="0" distL="0" distR="0">
            <wp:extent cx="5612130" cy="4209415"/>
            <wp:effectExtent l="0" t="0" r="7620" b="635"/>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elo 2.jpg"/>
                    <pic:cNvPicPr/>
                  </pic:nvPicPr>
                  <pic:blipFill>
                    <a:blip r:embed="rId7">
                      <a:extLst>
                        <a:ext uri="{28A0092B-C50C-407E-A947-70E740481C1C}">
                          <a14:useLocalDpi xmlns:a14="http://schemas.microsoft.com/office/drawing/2010/main" val="0"/>
                        </a:ext>
                      </a:extLst>
                    </a:blip>
                    <a:stretch>
                      <a:fillRect/>
                    </a:stretch>
                  </pic:blipFill>
                  <pic:spPr>
                    <a:xfrm>
                      <a:off x="0" y="0"/>
                      <a:ext cx="5612130" cy="4209415"/>
                    </a:xfrm>
                    <a:prstGeom prst="rect">
                      <a:avLst/>
                    </a:prstGeom>
                  </pic:spPr>
                </pic:pic>
              </a:graphicData>
            </a:graphic>
          </wp:inline>
        </w:drawing>
      </w:r>
    </w:p>
    <w:p w:rsidR="009904F2" w:rsidRPr="009C3E30" w:rsidRDefault="009904F2" w:rsidP="009904F2">
      <w:pPr>
        <w:spacing w:after="0" w:line="240" w:lineRule="auto"/>
        <w:rPr>
          <w:rFonts w:ascii="Arial" w:hAnsi="Arial" w:cs="Arial"/>
          <w:b/>
          <w:sz w:val="24"/>
          <w:szCs w:val="24"/>
        </w:rPr>
      </w:pPr>
      <w:r>
        <w:rPr>
          <w:rFonts w:ascii="Arial" w:hAnsi="Arial" w:cs="Arial"/>
          <w:b/>
          <w:sz w:val="24"/>
          <w:szCs w:val="24"/>
        </w:rPr>
        <w:t>Figura 2</w:t>
      </w:r>
      <w:r w:rsidRPr="009C3E30">
        <w:rPr>
          <w:rFonts w:ascii="Arial" w:hAnsi="Arial" w:cs="Arial"/>
          <w:b/>
          <w:sz w:val="24"/>
          <w:szCs w:val="24"/>
        </w:rPr>
        <w:t>. Hipótesis del efecto amortiguador (adapt</w:t>
      </w:r>
      <w:r>
        <w:rPr>
          <w:rFonts w:ascii="Arial" w:hAnsi="Arial" w:cs="Arial"/>
          <w:b/>
          <w:sz w:val="24"/>
          <w:szCs w:val="24"/>
        </w:rPr>
        <w:t>ación personal basada en Cohen &amp;</w:t>
      </w:r>
      <w:proofErr w:type="spellStart"/>
      <w:r w:rsidRPr="009C3E30">
        <w:rPr>
          <w:rFonts w:ascii="Arial" w:hAnsi="Arial" w:cs="Arial"/>
          <w:b/>
          <w:sz w:val="24"/>
          <w:szCs w:val="24"/>
        </w:rPr>
        <w:t>Wills</w:t>
      </w:r>
      <w:proofErr w:type="spellEnd"/>
      <w:r w:rsidRPr="009C3E30">
        <w:rPr>
          <w:rFonts w:ascii="Arial" w:hAnsi="Arial" w:cs="Arial"/>
          <w:b/>
          <w:sz w:val="24"/>
          <w:szCs w:val="24"/>
        </w:rPr>
        <w:t>, 1985)</w:t>
      </w:r>
    </w:p>
    <w:p w:rsidR="00C41418" w:rsidRDefault="00C41418" w:rsidP="00DB6EFA">
      <w:pPr>
        <w:spacing w:after="0" w:line="240" w:lineRule="auto"/>
        <w:rPr>
          <w:rFonts w:ascii="Arial" w:hAnsi="Arial" w:cs="Arial"/>
          <w:sz w:val="24"/>
          <w:szCs w:val="24"/>
        </w:rPr>
      </w:pPr>
    </w:p>
    <w:p w:rsidR="00E448AE" w:rsidRDefault="00E448AE" w:rsidP="00DB6EFA">
      <w:pPr>
        <w:spacing w:after="0" w:line="240" w:lineRule="auto"/>
        <w:rPr>
          <w:rFonts w:ascii="Arial" w:hAnsi="Arial" w:cs="Arial"/>
          <w:sz w:val="24"/>
          <w:szCs w:val="24"/>
        </w:rPr>
      </w:pPr>
      <w:r>
        <w:rPr>
          <w:rFonts w:ascii="Arial" w:hAnsi="Arial" w:cs="Arial"/>
          <w:sz w:val="24"/>
          <w:szCs w:val="24"/>
        </w:rPr>
        <w:tab/>
        <w:t xml:space="preserve">La inserción de esta variable se justifica en el hecho de que esté síndrome surge de una situación estresante </w:t>
      </w:r>
      <w:r w:rsidR="006C397E">
        <w:rPr>
          <w:rFonts w:ascii="Arial" w:hAnsi="Arial" w:cs="Arial"/>
          <w:sz w:val="24"/>
          <w:szCs w:val="24"/>
        </w:rPr>
        <w:t>de carácter cuasi-</w:t>
      </w:r>
      <w:r>
        <w:rPr>
          <w:rFonts w:ascii="Arial" w:hAnsi="Arial" w:cs="Arial"/>
          <w:sz w:val="24"/>
          <w:szCs w:val="24"/>
        </w:rPr>
        <w:t>permanente</w:t>
      </w:r>
      <w:r w:rsidR="004C2E42">
        <w:rPr>
          <w:rFonts w:ascii="Arial" w:hAnsi="Arial" w:cs="Arial"/>
          <w:sz w:val="24"/>
          <w:szCs w:val="24"/>
        </w:rPr>
        <w:t>;</w:t>
      </w:r>
      <w:r>
        <w:rPr>
          <w:rFonts w:ascii="Arial" w:hAnsi="Arial" w:cs="Arial"/>
          <w:sz w:val="24"/>
          <w:szCs w:val="24"/>
        </w:rPr>
        <w:t xml:space="preserve"> a este respecto es necesario recordar que </w:t>
      </w:r>
      <w:r w:rsidR="004C2E42">
        <w:rPr>
          <w:rFonts w:ascii="Arial" w:hAnsi="Arial" w:cs="Arial"/>
          <w:sz w:val="24"/>
          <w:szCs w:val="24"/>
        </w:rPr>
        <w:t xml:space="preserve">los </w:t>
      </w:r>
      <w:r w:rsidR="004C2E42" w:rsidRPr="004C2E42">
        <w:rPr>
          <w:rFonts w:ascii="Arial" w:hAnsi="Arial" w:cs="Arial"/>
          <w:sz w:val="24"/>
          <w:szCs w:val="24"/>
        </w:rPr>
        <w:t xml:space="preserve">síntomas </w:t>
      </w:r>
      <w:r w:rsidR="004C2E42">
        <w:rPr>
          <w:rFonts w:ascii="Arial" w:hAnsi="Arial" w:cs="Arial"/>
          <w:sz w:val="24"/>
          <w:szCs w:val="24"/>
        </w:rPr>
        <w:t xml:space="preserve">del estrés explican el 32,1% de </w:t>
      </w:r>
      <w:r w:rsidR="004C2E42" w:rsidRPr="004C2E42">
        <w:rPr>
          <w:rFonts w:ascii="Arial" w:hAnsi="Arial" w:cs="Arial"/>
          <w:sz w:val="24"/>
          <w:szCs w:val="24"/>
        </w:rPr>
        <w:t xml:space="preserve">la variación total del </w:t>
      </w:r>
      <w:proofErr w:type="spellStart"/>
      <w:r w:rsidR="004C2E42" w:rsidRPr="004C2E42">
        <w:rPr>
          <w:rFonts w:ascii="Arial" w:hAnsi="Arial" w:cs="Arial"/>
          <w:sz w:val="24"/>
          <w:szCs w:val="24"/>
        </w:rPr>
        <w:t>burnout</w:t>
      </w:r>
      <w:proofErr w:type="spellEnd"/>
      <w:r w:rsidR="004C2E42">
        <w:rPr>
          <w:rFonts w:ascii="Arial" w:hAnsi="Arial" w:cs="Arial"/>
          <w:sz w:val="24"/>
          <w:szCs w:val="24"/>
        </w:rPr>
        <w:t xml:space="preserve"> (Barraza, 2009).</w:t>
      </w:r>
    </w:p>
    <w:p w:rsidR="004C2E42" w:rsidRDefault="004C2E42" w:rsidP="004C2E42">
      <w:pPr>
        <w:spacing w:after="0" w:line="240" w:lineRule="auto"/>
        <w:rPr>
          <w:rFonts w:ascii="Arial" w:hAnsi="Arial" w:cs="Arial"/>
          <w:sz w:val="24"/>
          <w:szCs w:val="24"/>
        </w:rPr>
      </w:pPr>
      <w:r>
        <w:rPr>
          <w:rFonts w:ascii="Arial" w:hAnsi="Arial" w:cs="Arial"/>
          <w:sz w:val="24"/>
          <w:szCs w:val="24"/>
        </w:rPr>
        <w:tab/>
      </w:r>
    </w:p>
    <w:p w:rsidR="004C2E42" w:rsidRPr="00F43084" w:rsidRDefault="004C2E42" w:rsidP="004C2E42">
      <w:pPr>
        <w:spacing w:after="0" w:line="240" w:lineRule="auto"/>
        <w:rPr>
          <w:rFonts w:ascii="Arial" w:hAnsi="Arial" w:cs="Arial"/>
          <w:b/>
          <w:sz w:val="24"/>
          <w:szCs w:val="24"/>
        </w:rPr>
      </w:pPr>
      <w:r w:rsidRPr="00F43084">
        <w:rPr>
          <w:rFonts w:ascii="Arial" w:hAnsi="Arial" w:cs="Arial"/>
          <w:b/>
          <w:sz w:val="24"/>
          <w:szCs w:val="24"/>
        </w:rPr>
        <w:t>Revisión de la literatura</w:t>
      </w:r>
    </w:p>
    <w:p w:rsidR="004C2E42" w:rsidRDefault="004C2E42" w:rsidP="004C2E42">
      <w:pPr>
        <w:spacing w:after="0" w:line="240" w:lineRule="auto"/>
        <w:rPr>
          <w:rFonts w:ascii="Arial" w:hAnsi="Arial" w:cs="Arial"/>
          <w:sz w:val="24"/>
          <w:szCs w:val="24"/>
        </w:rPr>
      </w:pPr>
    </w:p>
    <w:p w:rsidR="00B45A26" w:rsidRDefault="0033530A" w:rsidP="004C2E42">
      <w:pPr>
        <w:spacing w:after="0" w:line="240" w:lineRule="auto"/>
        <w:rPr>
          <w:rFonts w:ascii="Arial" w:hAnsi="Arial" w:cs="Arial"/>
          <w:sz w:val="24"/>
          <w:szCs w:val="24"/>
        </w:rPr>
      </w:pPr>
      <w:r>
        <w:rPr>
          <w:rFonts w:ascii="Arial" w:hAnsi="Arial" w:cs="Arial"/>
          <w:sz w:val="24"/>
          <w:szCs w:val="24"/>
        </w:rPr>
        <w:t>La revisión de la literatura</w:t>
      </w:r>
      <w:r w:rsidR="008D6783">
        <w:rPr>
          <w:rFonts w:ascii="Arial" w:hAnsi="Arial" w:cs="Arial"/>
          <w:sz w:val="24"/>
          <w:szCs w:val="24"/>
        </w:rPr>
        <w:t xml:space="preserve"> per</w:t>
      </w:r>
      <w:r w:rsidR="00B45A26">
        <w:rPr>
          <w:rFonts w:ascii="Arial" w:hAnsi="Arial" w:cs="Arial"/>
          <w:sz w:val="24"/>
          <w:szCs w:val="24"/>
        </w:rPr>
        <w:t>mite reconocer que la indagación empírica, sobre las variables de interés para este estudio, ha sido fructífera.</w:t>
      </w:r>
    </w:p>
    <w:p w:rsidR="00B45A26" w:rsidRDefault="00B45A26" w:rsidP="004C2E42">
      <w:pPr>
        <w:spacing w:after="0" w:line="240" w:lineRule="auto"/>
        <w:rPr>
          <w:rFonts w:ascii="Arial" w:hAnsi="Arial" w:cs="Arial"/>
          <w:sz w:val="24"/>
          <w:szCs w:val="24"/>
        </w:rPr>
      </w:pPr>
    </w:p>
    <w:p w:rsidR="008D6783" w:rsidRDefault="00B45A26" w:rsidP="004C2E42">
      <w:pPr>
        <w:spacing w:after="0" w:line="240" w:lineRule="auto"/>
        <w:rPr>
          <w:rFonts w:ascii="Arial" w:hAnsi="Arial" w:cs="Arial"/>
          <w:sz w:val="24"/>
          <w:szCs w:val="24"/>
        </w:rPr>
      </w:pPr>
      <w:r>
        <w:rPr>
          <w:rFonts w:ascii="Arial" w:hAnsi="Arial" w:cs="Arial"/>
          <w:sz w:val="24"/>
          <w:szCs w:val="24"/>
        </w:rPr>
        <w:lastRenderedPageBreak/>
        <w:tab/>
        <w:t>Por una parte, el apoyo social ha sido estudiado co</w:t>
      </w:r>
      <w:r w:rsidR="0033530A">
        <w:rPr>
          <w:rFonts w:ascii="Arial" w:hAnsi="Arial" w:cs="Arial"/>
          <w:sz w:val="24"/>
          <w:szCs w:val="24"/>
        </w:rPr>
        <w:t xml:space="preserve">n relación a múltiples variables, como sería el caso de la </w:t>
      </w:r>
      <w:r w:rsidR="0023412C">
        <w:rPr>
          <w:rFonts w:ascii="Arial" w:hAnsi="Arial" w:cs="Arial"/>
          <w:sz w:val="24"/>
          <w:szCs w:val="24"/>
        </w:rPr>
        <w:t>satisfacción vital (San Martín &amp;</w:t>
      </w:r>
      <w:r w:rsidR="0033530A">
        <w:rPr>
          <w:rFonts w:ascii="Arial" w:hAnsi="Arial" w:cs="Arial"/>
          <w:sz w:val="24"/>
          <w:szCs w:val="24"/>
        </w:rPr>
        <w:t xml:space="preserve"> Barra, 2013)</w:t>
      </w:r>
      <w:r w:rsidR="0023412C">
        <w:rPr>
          <w:rFonts w:ascii="Arial" w:hAnsi="Arial" w:cs="Arial"/>
          <w:sz w:val="24"/>
          <w:szCs w:val="24"/>
        </w:rPr>
        <w:t>,</w:t>
      </w:r>
      <w:r w:rsidR="0023412C" w:rsidRPr="0023412C">
        <w:rPr>
          <w:rFonts w:ascii="Arial" w:hAnsi="Arial" w:cs="Arial"/>
          <w:sz w:val="24"/>
          <w:szCs w:val="24"/>
        </w:rPr>
        <w:t>el estado emocional y las actitudes hacia la vejez y el envejecimiento</w:t>
      </w:r>
      <w:r w:rsidR="0023412C">
        <w:rPr>
          <w:rFonts w:ascii="Arial" w:hAnsi="Arial" w:cs="Arial"/>
          <w:sz w:val="24"/>
          <w:szCs w:val="24"/>
        </w:rPr>
        <w:t xml:space="preserve"> (Castellano, 2014), </w:t>
      </w:r>
      <w:r w:rsidR="00902C84" w:rsidRPr="00902C84">
        <w:rPr>
          <w:rFonts w:ascii="Arial" w:hAnsi="Arial" w:cs="Arial"/>
          <w:sz w:val="24"/>
          <w:szCs w:val="24"/>
        </w:rPr>
        <w:t>la sa</w:t>
      </w:r>
      <w:r w:rsidR="00902C84">
        <w:rPr>
          <w:rFonts w:ascii="Arial" w:hAnsi="Arial" w:cs="Arial"/>
          <w:sz w:val="24"/>
          <w:szCs w:val="24"/>
        </w:rPr>
        <w:t>lud y calidad de vida percibida (</w:t>
      </w:r>
      <w:proofErr w:type="spellStart"/>
      <w:r w:rsidR="00902C84">
        <w:rPr>
          <w:rFonts w:ascii="Arial" w:hAnsi="Arial" w:cs="Arial"/>
          <w:sz w:val="24"/>
          <w:szCs w:val="24"/>
        </w:rPr>
        <w:t>Guarino</w:t>
      </w:r>
      <w:proofErr w:type="spellEnd"/>
      <w:r w:rsidR="00902C84">
        <w:rPr>
          <w:rFonts w:ascii="Arial" w:hAnsi="Arial" w:cs="Arial"/>
          <w:sz w:val="24"/>
          <w:szCs w:val="24"/>
        </w:rPr>
        <w:t xml:space="preserve">, </w:t>
      </w:r>
      <w:proofErr w:type="spellStart"/>
      <w:r w:rsidR="00902C84">
        <w:rPr>
          <w:rFonts w:ascii="Arial" w:hAnsi="Arial" w:cs="Arial"/>
          <w:sz w:val="24"/>
          <w:szCs w:val="24"/>
        </w:rPr>
        <w:t>Scremin</w:t>
      </w:r>
      <w:proofErr w:type="spellEnd"/>
      <w:r w:rsidR="006F6A43">
        <w:rPr>
          <w:rFonts w:ascii="Arial" w:hAnsi="Arial" w:cs="Arial"/>
          <w:sz w:val="24"/>
          <w:szCs w:val="24"/>
        </w:rPr>
        <w:t xml:space="preserve"> </w:t>
      </w:r>
      <w:r w:rsidR="00902C84">
        <w:rPr>
          <w:rFonts w:ascii="Arial" w:hAnsi="Arial" w:cs="Arial"/>
          <w:sz w:val="24"/>
          <w:szCs w:val="24"/>
        </w:rPr>
        <w:t>&amp;</w:t>
      </w:r>
      <w:r w:rsidR="006F6A43">
        <w:rPr>
          <w:rFonts w:ascii="Arial" w:hAnsi="Arial" w:cs="Arial"/>
          <w:sz w:val="24"/>
          <w:szCs w:val="24"/>
        </w:rPr>
        <w:t xml:space="preserve"> </w:t>
      </w:r>
      <w:proofErr w:type="spellStart"/>
      <w:r w:rsidR="00902C84">
        <w:rPr>
          <w:rFonts w:ascii="Arial" w:hAnsi="Arial" w:cs="Arial"/>
          <w:sz w:val="24"/>
          <w:szCs w:val="24"/>
        </w:rPr>
        <w:t>Borrás</w:t>
      </w:r>
      <w:proofErr w:type="spellEnd"/>
      <w:r w:rsidR="00902C84">
        <w:rPr>
          <w:rFonts w:ascii="Arial" w:hAnsi="Arial" w:cs="Arial"/>
          <w:sz w:val="24"/>
          <w:szCs w:val="24"/>
        </w:rPr>
        <w:t xml:space="preserve">, 2013), </w:t>
      </w:r>
      <w:r w:rsidR="0023412C" w:rsidRPr="0023412C">
        <w:rPr>
          <w:rFonts w:ascii="Arial" w:hAnsi="Arial" w:cs="Arial"/>
          <w:sz w:val="24"/>
          <w:szCs w:val="24"/>
        </w:rPr>
        <w:t xml:space="preserve"> la adherencia terapéutica </w:t>
      </w:r>
      <w:r w:rsidR="0023412C">
        <w:rPr>
          <w:rFonts w:ascii="Arial" w:hAnsi="Arial" w:cs="Arial"/>
          <w:sz w:val="24"/>
          <w:szCs w:val="24"/>
        </w:rPr>
        <w:t>en pacientes diabéticos tipo II (Canales &amp; Barra, 2014)</w:t>
      </w:r>
      <w:r w:rsidR="00902C84">
        <w:rPr>
          <w:rFonts w:ascii="Arial" w:hAnsi="Arial" w:cs="Arial"/>
          <w:sz w:val="24"/>
          <w:szCs w:val="24"/>
        </w:rPr>
        <w:t>,y</w:t>
      </w:r>
      <w:r w:rsidR="0023412C">
        <w:rPr>
          <w:rFonts w:ascii="Arial" w:hAnsi="Arial" w:cs="Arial"/>
          <w:sz w:val="24"/>
          <w:szCs w:val="24"/>
        </w:rPr>
        <w:t xml:space="preserve"> la </w:t>
      </w:r>
      <w:r w:rsidR="0023412C" w:rsidRPr="0023412C">
        <w:rPr>
          <w:rFonts w:ascii="Arial" w:hAnsi="Arial" w:cs="Arial"/>
          <w:sz w:val="24"/>
          <w:szCs w:val="24"/>
        </w:rPr>
        <w:t>depresión y estrés postraumático</w:t>
      </w:r>
      <w:r w:rsidR="0023412C">
        <w:rPr>
          <w:rFonts w:ascii="Arial" w:hAnsi="Arial" w:cs="Arial"/>
          <w:sz w:val="24"/>
          <w:szCs w:val="24"/>
        </w:rPr>
        <w:t xml:space="preserve"> (</w:t>
      </w:r>
      <w:proofErr w:type="spellStart"/>
      <w:r w:rsidR="0023412C">
        <w:rPr>
          <w:rFonts w:ascii="Arial" w:hAnsi="Arial" w:cs="Arial"/>
          <w:sz w:val="24"/>
          <w:szCs w:val="24"/>
        </w:rPr>
        <w:t>Buesa</w:t>
      </w:r>
      <w:proofErr w:type="spellEnd"/>
      <w:r w:rsidR="0023412C">
        <w:rPr>
          <w:rFonts w:ascii="Arial" w:hAnsi="Arial" w:cs="Arial"/>
          <w:sz w:val="24"/>
          <w:szCs w:val="24"/>
        </w:rPr>
        <w:t>&amp; Calvete, 2013),</w:t>
      </w:r>
      <w:r w:rsidR="000624B2">
        <w:rPr>
          <w:rFonts w:ascii="Arial" w:hAnsi="Arial" w:cs="Arial"/>
          <w:sz w:val="24"/>
          <w:szCs w:val="24"/>
        </w:rPr>
        <w:t xml:space="preserve"> entre</w:t>
      </w:r>
      <w:r w:rsidR="008D6783">
        <w:rPr>
          <w:rFonts w:ascii="Arial" w:hAnsi="Arial" w:cs="Arial"/>
          <w:sz w:val="24"/>
          <w:szCs w:val="24"/>
        </w:rPr>
        <w:t xml:space="preserve"> otras. </w:t>
      </w:r>
    </w:p>
    <w:p w:rsidR="008D6783" w:rsidRDefault="00B45A26" w:rsidP="004C2E42">
      <w:pPr>
        <w:spacing w:after="0" w:line="240" w:lineRule="auto"/>
        <w:rPr>
          <w:rFonts w:ascii="Arial" w:hAnsi="Arial" w:cs="Arial"/>
          <w:sz w:val="24"/>
          <w:szCs w:val="24"/>
        </w:rPr>
      </w:pPr>
      <w:r>
        <w:rPr>
          <w:rFonts w:ascii="Arial" w:hAnsi="Arial" w:cs="Arial"/>
          <w:sz w:val="24"/>
          <w:szCs w:val="24"/>
        </w:rPr>
        <w:tab/>
        <w:t>Por su</w:t>
      </w:r>
      <w:r w:rsidR="00902C84">
        <w:rPr>
          <w:rFonts w:ascii="Arial" w:hAnsi="Arial" w:cs="Arial"/>
          <w:sz w:val="24"/>
          <w:szCs w:val="24"/>
        </w:rPr>
        <w:t xml:space="preserve"> parte</w:t>
      </w:r>
      <w:r w:rsidR="008D6783">
        <w:rPr>
          <w:rFonts w:ascii="Arial" w:hAnsi="Arial" w:cs="Arial"/>
          <w:sz w:val="24"/>
          <w:szCs w:val="24"/>
        </w:rPr>
        <w:t>,</w:t>
      </w:r>
      <w:r w:rsidR="00902C84">
        <w:rPr>
          <w:rFonts w:ascii="Arial" w:hAnsi="Arial" w:cs="Arial"/>
          <w:sz w:val="24"/>
          <w:szCs w:val="24"/>
        </w:rPr>
        <w:t xml:space="preserve"> el síndrome de burnout ha sido estudiado con relación a variables como la salud mental (</w:t>
      </w:r>
      <w:proofErr w:type="spellStart"/>
      <w:r w:rsidR="00902C84">
        <w:rPr>
          <w:rFonts w:ascii="Arial" w:hAnsi="Arial" w:cs="Arial"/>
          <w:sz w:val="24"/>
          <w:szCs w:val="24"/>
        </w:rPr>
        <w:t>Santes</w:t>
      </w:r>
      <w:proofErr w:type="spellEnd"/>
      <w:r w:rsidR="00902C84">
        <w:rPr>
          <w:rFonts w:ascii="Arial" w:hAnsi="Arial" w:cs="Arial"/>
          <w:sz w:val="24"/>
          <w:szCs w:val="24"/>
        </w:rPr>
        <w:t xml:space="preserve">, Meléndez, Martínez, Ramos, Preciado &amp; Pando, 2009), </w:t>
      </w:r>
      <w:proofErr w:type="spellStart"/>
      <w:r w:rsidR="00902C84">
        <w:rPr>
          <w:rFonts w:ascii="Arial" w:hAnsi="Arial" w:cs="Arial"/>
          <w:sz w:val="24"/>
          <w:szCs w:val="24"/>
        </w:rPr>
        <w:t>resiliencia</w:t>
      </w:r>
      <w:proofErr w:type="spellEnd"/>
      <w:r w:rsidR="00902C84">
        <w:rPr>
          <w:rFonts w:ascii="Arial" w:hAnsi="Arial" w:cs="Arial"/>
          <w:sz w:val="24"/>
          <w:szCs w:val="24"/>
        </w:rPr>
        <w:t xml:space="preserve"> (</w:t>
      </w:r>
      <w:r w:rsidR="005A7E60">
        <w:rPr>
          <w:rFonts w:ascii="Arial" w:hAnsi="Arial" w:cs="Arial"/>
          <w:sz w:val="24"/>
          <w:szCs w:val="24"/>
        </w:rPr>
        <w:t>Ríos, Carrillo &amp; Sabuco, 2012), sufrimiento moral (</w:t>
      </w:r>
      <w:proofErr w:type="spellStart"/>
      <w:r w:rsidR="005A7E60">
        <w:rPr>
          <w:rFonts w:ascii="Arial" w:hAnsi="Arial" w:cs="Arial"/>
          <w:sz w:val="24"/>
          <w:szCs w:val="24"/>
        </w:rPr>
        <w:t>Dalmolín</w:t>
      </w:r>
      <w:proofErr w:type="spellEnd"/>
      <w:r w:rsidR="005A7E60">
        <w:rPr>
          <w:rFonts w:ascii="Arial" w:hAnsi="Arial" w:cs="Arial"/>
          <w:sz w:val="24"/>
          <w:szCs w:val="24"/>
        </w:rPr>
        <w:t xml:space="preserve">, </w:t>
      </w:r>
      <w:proofErr w:type="spellStart"/>
      <w:r w:rsidR="005A7E60">
        <w:rPr>
          <w:rFonts w:ascii="Arial" w:hAnsi="Arial" w:cs="Arial"/>
          <w:sz w:val="24"/>
          <w:szCs w:val="24"/>
        </w:rPr>
        <w:t>Lerch</w:t>
      </w:r>
      <w:proofErr w:type="spellEnd"/>
      <w:r w:rsidR="005A7E60">
        <w:rPr>
          <w:rFonts w:ascii="Arial" w:hAnsi="Arial" w:cs="Arial"/>
          <w:sz w:val="24"/>
          <w:szCs w:val="24"/>
        </w:rPr>
        <w:t xml:space="preserve">, </w:t>
      </w:r>
      <w:proofErr w:type="spellStart"/>
      <w:r w:rsidR="005A7E60">
        <w:rPr>
          <w:rFonts w:ascii="Arial" w:hAnsi="Arial" w:cs="Arial"/>
          <w:sz w:val="24"/>
          <w:szCs w:val="24"/>
        </w:rPr>
        <w:t>Lerch</w:t>
      </w:r>
      <w:proofErr w:type="spellEnd"/>
      <w:r w:rsidR="005A7E60">
        <w:rPr>
          <w:rFonts w:ascii="Arial" w:hAnsi="Arial" w:cs="Arial"/>
          <w:sz w:val="24"/>
          <w:szCs w:val="24"/>
        </w:rPr>
        <w:t xml:space="preserve">, </w:t>
      </w:r>
      <w:proofErr w:type="spellStart"/>
      <w:r w:rsidR="005A7E60">
        <w:rPr>
          <w:rFonts w:ascii="Arial" w:hAnsi="Arial" w:cs="Arial"/>
          <w:sz w:val="24"/>
          <w:szCs w:val="24"/>
        </w:rPr>
        <w:t>Devos</w:t>
      </w:r>
      <w:proofErr w:type="spellEnd"/>
      <w:r w:rsidR="006F52E2">
        <w:rPr>
          <w:rFonts w:ascii="Arial" w:hAnsi="Arial" w:cs="Arial"/>
          <w:sz w:val="24"/>
          <w:szCs w:val="24"/>
        </w:rPr>
        <w:t xml:space="preserve"> </w:t>
      </w:r>
      <w:r w:rsidR="005A7E60">
        <w:rPr>
          <w:rFonts w:ascii="Arial" w:hAnsi="Arial" w:cs="Arial"/>
          <w:sz w:val="24"/>
          <w:szCs w:val="24"/>
        </w:rPr>
        <w:t>&amp; Silva, 2014)</w:t>
      </w:r>
      <w:r w:rsidR="000624B2">
        <w:rPr>
          <w:rFonts w:ascii="Arial" w:hAnsi="Arial" w:cs="Arial"/>
          <w:sz w:val="24"/>
          <w:szCs w:val="24"/>
        </w:rPr>
        <w:t xml:space="preserve">, </w:t>
      </w:r>
      <w:r w:rsidR="000624B2" w:rsidRPr="000624B2">
        <w:rPr>
          <w:rFonts w:ascii="Arial" w:hAnsi="Arial" w:cs="Arial"/>
          <w:sz w:val="24"/>
          <w:szCs w:val="24"/>
        </w:rPr>
        <w:t>la percepción del esquema corporal</w:t>
      </w:r>
      <w:r w:rsidR="000624B2">
        <w:rPr>
          <w:rFonts w:ascii="Arial" w:hAnsi="Arial" w:cs="Arial"/>
          <w:sz w:val="24"/>
          <w:szCs w:val="24"/>
        </w:rPr>
        <w:t xml:space="preserve"> (Pedrosa &amp; García, 2014) y</w:t>
      </w:r>
      <w:r w:rsidR="008D6783">
        <w:rPr>
          <w:rFonts w:ascii="Arial" w:hAnsi="Arial" w:cs="Arial"/>
          <w:sz w:val="24"/>
          <w:szCs w:val="24"/>
        </w:rPr>
        <w:t xml:space="preserve">la </w:t>
      </w:r>
      <w:r w:rsidR="003B75C1">
        <w:rPr>
          <w:rFonts w:ascii="Arial" w:hAnsi="Arial" w:cs="Arial"/>
          <w:sz w:val="24"/>
          <w:szCs w:val="24"/>
        </w:rPr>
        <w:t>calidad de vida laboral (Flores, Jenaro, Cruz, Vega &amp; Pérez, 2013)</w:t>
      </w:r>
      <w:r w:rsidR="008D6783">
        <w:rPr>
          <w:rFonts w:ascii="Arial" w:hAnsi="Arial" w:cs="Arial"/>
          <w:sz w:val="24"/>
          <w:szCs w:val="24"/>
        </w:rPr>
        <w:t xml:space="preserve">, entre otras. </w:t>
      </w:r>
    </w:p>
    <w:p w:rsidR="00F27E64" w:rsidRDefault="00B45A26" w:rsidP="002B5FDC">
      <w:pPr>
        <w:spacing w:after="0" w:line="240" w:lineRule="auto"/>
        <w:rPr>
          <w:rFonts w:ascii="Arial" w:hAnsi="Arial" w:cs="Arial"/>
          <w:color w:val="FF0000"/>
          <w:sz w:val="24"/>
          <w:szCs w:val="24"/>
        </w:rPr>
      </w:pPr>
      <w:r>
        <w:rPr>
          <w:rFonts w:ascii="Arial" w:hAnsi="Arial" w:cs="Arial"/>
          <w:sz w:val="24"/>
          <w:szCs w:val="24"/>
        </w:rPr>
        <w:tab/>
        <w:t>Con respecto al estudio de la relación</w:t>
      </w:r>
      <w:r w:rsidR="008D6783">
        <w:rPr>
          <w:rFonts w:ascii="Arial" w:hAnsi="Arial" w:cs="Arial"/>
          <w:sz w:val="24"/>
          <w:szCs w:val="24"/>
        </w:rPr>
        <w:t xml:space="preserve"> entre ambas variables</w:t>
      </w:r>
      <w:r>
        <w:rPr>
          <w:rFonts w:ascii="Arial" w:hAnsi="Arial" w:cs="Arial"/>
          <w:sz w:val="24"/>
          <w:szCs w:val="24"/>
        </w:rPr>
        <w:t xml:space="preserve">,la revisión de la literatura muestra que </w:t>
      </w:r>
      <w:r w:rsidR="008D6783">
        <w:rPr>
          <w:rFonts w:ascii="Arial" w:hAnsi="Arial" w:cs="Arial"/>
          <w:sz w:val="24"/>
          <w:szCs w:val="24"/>
        </w:rPr>
        <w:t>ha sido escasamente estudiada.</w:t>
      </w:r>
      <w:r>
        <w:rPr>
          <w:rFonts w:ascii="Arial" w:hAnsi="Arial" w:cs="Arial"/>
          <w:sz w:val="24"/>
          <w:szCs w:val="24"/>
        </w:rPr>
        <w:t xml:space="preserve"> Jiménez, Jara y Miranda (2012) afirman que </w:t>
      </w:r>
      <w:r w:rsidRPr="00B45A26">
        <w:rPr>
          <w:rFonts w:ascii="Arial" w:hAnsi="Arial" w:cs="Arial"/>
          <w:sz w:val="24"/>
          <w:szCs w:val="24"/>
        </w:rPr>
        <w:t>encontraron rel</w:t>
      </w:r>
      <w:r>
        <w:rPr>
          <w:rFonts w:ascii="Arial" w:hAnsi="Arial" w:cs="Arial"/>
          <w:sz w:val="24"/>
          <w:szCs w:val="24"/>
        </w:rPr>
        <w:t>aciones significativas entre dich</w:t>
      </w:r>
      <w:r w:rsidRPr="00B45A26">
        <w:rPr>
          <w:rFonts w:ascii="Arial" w:hAnsi="Arial" w:cs="Arial"/>
          <w:sz w:val="24"/>
          <w:szCs w:val="24"/>
        </w:rPr>
        <w:t>as variables, demostrando que el Burnout se relaciona de forma inversa con la variable Apoyo Social (r=-0,526; p&lt;0,01)</w:t>
      </w:r>
      <w:r w:rsidR="006C3F72">
        <w:rPr>
          <w:rFonts w:ascii="Arial" w:hAnsi="Arial" w:cs="Arial"/>
          <w:sz w:val="24"/>
          <w:szCs w:val="24"/>
        </w:rPr>
        <w:t>; mientras que</w:t>
      </w:r>
      <w:r w:rsidR="002B5FDC">
        <w:rPr>
          <w:rFonts w:ascii="Arial" w:hAnsi="Arial" w:cs="Arial"/>
          <w:sz w:val="24"/>
          <w:szCs w:val="24"/>
        </w:rPr>
        <w:t xml:space="preserve"> Aranda, González, Pando y Hidalgo (2013) reportan que n</w:t>
      </w:r>
      <w:r w:rsidR="002B5FDC" w:rsidRPr="002B5FDC">
        <w:rPr>
          <w:rFonts w:ascii="Arial" w:hAnsi="Arial" w:cs="Arial"/>
          <w:sz w:val="24"/>
          <w:szCs w:val="24"/>
        </w:rPr>
        <w:t>o se encontra</w:t>
      </w:r>
      <w:r w:rsidR="002B5FDC">
        <w:rPr>
          <w:rFonts w:ascii="Arial" w:hAnsi="Arial" w:cs="Arial"/>
          <w:sz w:val="24"/>
          <w:szCs w:val="24"/>
        </w:rPr>
        <w:t xml:space="preserve">ron asociaciones significativas entre el apoyo social y el síndrome de </w:t>
      </w:r>
      <w:r w:rsidR="002B5FDC" w:rsidRPr="00E22B02">
        <w:rPr>
          <w:rFonts w:ascii="Arial" w:hAnsi="Arial" w:cs="Arial"/>
          <w:sz w:val="24"/>
          <w:szCs w:val="24"/>
        </w:rPr>
        <w:t>Burnout</w:t>
      </w:r>
      <w:r w:rsidR="00E22B02" w:rsidRPr="00E22B02">
        <w:rPr>
          <w:rFonts w:ascii="Arial" w:hAnsi="Arial" w:cs="Arial"/>
          <w:sz w:val="24"/>
          <w:szCs w:val="24"/>
        </w:rPr>
        <w:t>.</w:t>
      </w:r>
    </w:p>
    <w:p w:rsidR="00F27E64" w:rsidRDefault="00E11230" w:rsidP="004C2E42">
      <w:pPr>
        <w:spacing w:after="0" w:line="240" w:lineRule="auto"/>
        <w:rPr>
          <w:rFonts w:ascii="Arial" w:hAnsi="Arial" w:cs="Arial"/>
          <w:sz w:val="24"/>
          <w:szCs w:val="24"/>
        </w:rPr>
      </w:pPr>
      <w:r w:rsidRPr="00E11230">
        <w:rPr>
          <w:rFonts w:ascii="Arial" w:hAnsi="Arial" w:cs="Arial"/>
          <w:sz w:val="24"/>
          <w:szCs w:val="24"/>
        </w:rPr>
        <w:tab/>
      </w:r>
      <w:r w:rsidR="006F6A43">
        <w:rPr>
          <w:rFonts w:ascii="Arial" w:hAnsi="Arial" w:cs="Arial"/>
          <w:sz w:val="24"/>
          <w:szCs w:val="24"/>
        </w:rPr>
        <w:t xml:space="preserve">La escasa </w:t>
      </w:r>
      <w:r w:rsidR="00BA380E">
        <w:rPr>
          <w:rFonts w:ascii="Arial" w:hAnsi="Arial" w:cs="Arial"/>
          <w:sz w:val="24"/>
          <w:szCs w:val="24"/>
        </w:rPr>
        <w:t xml:space="preserve"> evidencia empírica reportadas por la literatura</w:t>
      </w:r>
      <w:r w:rsidR="006F6A43">
        <w:rPr>
          <w:rFonts w:ascii="Arial" w:hAnsi="Arial" w:cs="Arial"/>
          <w:sz w:val="24"/>
          <w:szCs w:val="24"/>
        </w:rPr>
        <w:t xml:space="preserve"> consultada justifica</w:t>
      </w:r>
      <w:r w:rsidR="00BA380E">
        <w:rPr>
          <w:rFonts w:ascii="Arial" w:hAnsi="Arial" w:cs="Arial"/>
          <w:sz w:val="24"/>
          <w:szCs w:val="24"/>
        </w:rPr>
        <w:t xml:space="preserve"> su estudio; sin emba</w:t>
      </w:r>
      <w:r w:rsidR="006C397E">
        <w:rPr>
          <w:rFonts w:ascii="Arial" w:hAnsi="Arial" w:cs="Arial"/>
          <w:sz w:val="24"/>
          <w:szCs w:val="24"/>
        </w:rPr>
        <w:t>rgo, antes de abordar su análisis</w:t>
      </w:r>
      <w:r w:rsidR="00BA380E">
        <w:rPr>
          <w:rFonts w:ascii="Arial" w:hAnsi="Arial" w:cs="Arial"/>
          <w:sz w:val="24"/>
          <w:szCs w:val="24"/>
        </w:rPr>
        <w:t xml:space="preserve"> se vuelve necesario hacer dos acotaciones</w:t>
      </w:r>
      <w:r w:rsidR="006C397E">
        <w:rPr>
          <w:rFonts w:ascii="Arial" w:hAnsi="Arial" w:cs="Arial"/>
          <w:sz w:val="24"/>
          <w:szCs w:val="24"/>
        </w:rPr>
        <w:t xml:space="preserve"> objetuales</w:t>
      </w:r>
      <w:r w:rsidR="00BA380E">
        <w:rPr>
          <w:rFonts w:ascii="Arial" w:hAnsi="Arial" w:cs="Arial"/>
          <w:sz w:val="24"/>
          <w:szCs w:val="24"/>
        </w:rPr>
        <w:t xml:space="preserve">: a) la variable apoyo social se aborda desde la perspectiva </w:t>
      </w:r>
      <w:r w:rsidR="00BA380E" w:rsidRPr="00BA380E">
        <w:rPr>
          <w:rFonts w:ascii="Arial" w:hAnsi="Arial" w:cs="Arial"/>
          <w:sz w:val="24"/>
          <w:szCs w:val="24"/>
        </w:rPr>
        <w:t>cuantitativa-estructural</w:t>
      </w:r>
      <w:r w:rsidR="00BA380E">
        <w:rPr>
          <w:rFonts w:ascii="Arial" w:hAnsi="Arial" w:cs="Arial"/>
          <w:sz w:val="24"/>
          <w:szCs w:val="24"/>
        </w:rPr>
        <w:t xml:space="preserve"> que conduce a identificar esta variable con la red de apoyo social, en lo general, y con su tamaño, en lo particular, y b) el síndrome de burnout es abordado desde una perspectiva </w:t>
      </w:r>
      <w:r w:rsidR="00444EA0">
        <w:rPr>
          <w:rFonts w:ascii="Arial" w:hAnsi="Arial" w:cs="Arial"/>
          <w:sz w:val="24"/>
          <w:szCs w:val="24"/>
        </w:rPr>
        <w:t>unidimensional</w:t>
      </w:r>
      <w:r w:rsidR="00BA380E">
        <w:rPr>
          <w:rFonts w:ascii="Arial" w:hAnsi="Arial" w:cs="Arial"/>
          <w:sz w:val="24"/>
          <w:szCs w:val="24"/>
        </w:rPr>
        <w:t xml:space="preserve"> (Pines, </w:t>
      </w:r>
      <w:r w:rsidR="006F6A43">
        <w:rPr>
          <w:rFonts w:ascii="Arial" w:hAnsi="Arial" w:cs="Arial"/>
          <w:sz w:val="24"/>
          <w:szCs w:val="24"/>
        </w:rPr>
        <w:t>et al.</w:t>
      </w:r>
      <w:r w:rsidR="00BA380E">
        <w:rPr>
          <w:rFonts w:ascii="Arial" w:hAnsi="Arial" w:cs="Arial"/>
          <w:sz w:val="24"/>
          <w:szCs w:val="24"/>
        </w:rPr>
        <w:t xml:space="preserve"> 1981)</w:t>
      </w:r>
      <w:r w:rsidR="00444EA0">
        <w:rPr>
          <w:rFonts w:ascii="Arial" w:hAnsi="Arial" w:cs="Arial"/>
          <w:sz w:val="24"/>
          <w:szCs w:val="24"/>
        </w:rPr>
        <w:t>.</w:t>
      </w:r>
    </w:p>
    <w:p w:rsidR="00444EA0" w:rsidRDefault="00444EA0" w:rsidP="004C2E42">
      <w:pPr>
        <w:spacing w:after="0" w:line="240" w:lineRule="auto"/>
        <w:rPr>
          <w:rFonts w:ascii="Arial" w:hAnsi="Arial" w:cs="Arial"/>
          <w:sz w:val="24"/>
          <w:szCs w:val="24"/>
        </w:rPr>
      </w:pPr>
    </w:p>
    <w:p w:rsidR="00444EA0" w:rsidRPr="00444EA0" w:rsidRDefault="00444EA0" w:rsidP="004C2E42">
      <w:pPr>
        <w:spacing w:after="0" w:line="240" w:lineRule="auto"/>
        <w:rPr>
          <w:rFonts w:ascii="Arial" w:hAnsi="Arial" w:cs="Arial"/>
          <w:b/>
          <w:sz w:val="24"/>
          <w:szCs w:val="24"/>
        </w:rPr>
      </w:pPr>
      <w:r>
        <w:rPr>
          <w:rFonts w:ascii="Arial" w:hAnsi="Arial" w:cs="Arial"/>
          <w:b/>
          <w:sz w:val="24"/>
          <w:szCs w:val="24"/>
        </w:rPr>
        <w:tab/>
      </w:r>
      <w:r w:rsidRPr="00444EA0">
        <w:rPr>
          <w:rFonts w:ascii="Arial" w:hAnsi="Arial" w:cs="Arial"/>
          <w:b/>
          <w:sz w:val="24"/>
          <w:szCs w:val="24"/>
        </w:rPr>
        <w:t>Objetivos</w:t>
      </w:r>
    </w:p>
    <w:p w:rsidR="00F27E64" w:rsidRDefault="00F27E64" w:rsidP="004C2E42">
      <w:pPr>
        <w:spacing w:after="0" w:line="240" w:lineRule="auto"/>
        <w:rPr>
          <w:rFonts w:ascii="Arial" w:hAnsi="Arial" w:cs="Arial"/>
          <w:sz w:val="24"/>
          <w:szCs w:val="24"/>
        </w:rPr>
      </w:pPr>
    </w:p>
    <w:p w:rsidR="00F27E64" w:rsidRDefault="00BE667B" w:rsidP="004C2E42">
      <w:pPr>
        <w:spacing w:after="0" w:line="240" w:lineRule="auto"/>
        <w:rPr>
          <w:rFonts w:ascii="Arial" w:hAnsi="Arial" w:cs="Arial"/>
          <w:sz w:val="24"/>
          <w:szCs w:val="24"/>
        </w:rPr>
      </w:pPr>
      <w:r>
        <w:rPr>
          <w:rFonts w:ascii="Arial" w:hAnsi="Arial" w:cs="Arial"/>
          <w:sz w:val="24"/>
          <w:szCs w:val="24"/>
        </w:rPr>
        <w:t>Establecer las características</w:t>
      </w:r>
      <w:r w:rsidR="00444EA0">
        <w:rPr>
          <w:rFonts w:ascii="Arial" w:hAnsi="Arial" w:cs="Arial"/>
          <w:sz w:val="24"/>
          <w:szCs w:val="24"/>
        </w:rPr>
        <w:t xml:space="preserve"> de</w:t>
      </w:r>
      <w:r w:rsidR="00101052">
        <w:rPr>
          <w:rFonts w:ascii="Arial" w:hAnsi="Arial" w:cs="Arial"/>
          <w:sz w:val="24"/>
          <w:szCs w:val="24"/>
        </w:rPr>
        <w:t>l</w:t>
      </w:r>
      <w:r w:rsidR="00444EA0">
        <w:rPr>
          <w:rFonts w:ascii="Arial" w:hAnsi="Arial" w:cs="Arial"/>
          <w:sz w:val="24"/>
          <w:szCs w:val="24"/>
        </w:rPr>
        <w:t xml:space="preserve"> síndrome de burnout </w:t>
      </w:r>
      <w:r>
        <w:rPr>
          <w:rFonts w:ascii="Arial" w:hAnsi="Arial" w:cs="Arial"/>
          <w:sz w:val="24"/>
          <w:szCs w:val="24"/>
        </w:rPr>
        <w:t>que se presentan con mayor o menor frecuencia entre</w:t>
      </w:r>
      <w:r w:rsidR="00444EA0">
        <w:rPr>
          <w:rFonts w:ascii="Arial" w:hAnsi="Arial" w:cs="Arial"/>
          <w:sz w:val="24"/>
          <w:szCs w:val="24"/>
        </w:rPr>
        <w:t>los alumnos de licenciatura de la Universidad Pedagógica de Durango.</w:t>
      </w:r>
    </w:p>
    <w:p w:rsidR="00444EA0" w:rsidRDefault="00444EA0" w:rsidP="004C2E42">
      <w:pPr>
        <w:spacing w:after="0" w:line="240" w:lineRule="auto"/>
        <w:rPr>
          <w:rFonts w:ascii="Arial" w:hAnsi="Arial" w:cs="Arial"/>
          <w:sz w:val="24"/>
          <w:szCs w:val="24"/>
        </w:rPr>
      </w:pPr>
    </w:p>
    <w:p w:rsidR="00444EA0" w:rsidRDefault="00444EA0" w:rsidP="004C2E42">
      <w:pPr>
        <w:spacing w:after="0" w:line="240" w:lineRule="auto"/>
        <w:rPr>
          <w:rFonts w:ascii="Arial" w:hAnsi="Arial" w:cs="Arial"/>
          <w:sz w:val="24"/>
          <w:szCs w:val="24"/>
        </w:rPr>
      </w:pPr>
      <w:r>
        <w:rPr>
          <w:rFonts w:ascii="Arial" w:hAnsi="Arial" w:cs="Arial"/>
          <w:sz w:val="24"/>
          <w:szCs w:val="24"/>
        </w:rPr>
        <w:t xml:space="preserve">Reconocer las características cuantitativas de la red de apoyo social de </w:t>
      </w:r>
      <w:r w:rsidRPr="00444EA0">
        <w:rPr>
          <w:rFonts w:ascii="Arial" w:hAnsi="Arial" w:cs="Arial"/>
          <w:sz w:val="24"/>
          <w:szCs w:val="24"/>
        </w:rPr>
        <w:t>los alumnos de licenciatura de la Universidad Pedagógica de Durango.</w:t>
      </w:r>
    </w:p>
    <w:p w:rsidR="00444EA0" w:rsidRDefault="00444EA0" w:rsidP="004C2E42">
      <w:pPr>
        <w:spacing w:after="0" w:line="240" w:lineRule="auto"/>
        <w:rPr>
          <w:rFonts w:ascii="Arial" w:hAnsi="Arial" w:cs="Arial"/>
          <w:sz w:val="24"/>
          <w:szCs w:val="24"/>
        </w:rPr>
      </w:pPr>
    </w:p>
    <w:p w:rsidR="00444EA0" w:rsidRDefault="00444EA0" w:rsidP="004C2E42">
      <w:pPr>
        <w:spacing w:after="0" w:line="240" w:lineRule="auto"/>
        <w:rPr>
          <w:rFonts w:ascii="Arial" w:hAnsi="Arial" w:cs="Arial"/>
          <w:sz w:val="24"/>
          <w:szCs w:val="24"/>
        </w:rPr>
      </w:pPr>
      <w:r>
        <w:rPr>
          <w:rFonts w:ascii="Arial" w:hAnsi="Arial" w:cs="Arial"/>
          <w:sz w:val="24"/>
          <w:szCs w:val="24"/>
        </w:rPr>
        <w:t xml:space="preserve">Determinar la relación </w:t>
      </w:r>
      <w:r w:rsidR="006C397E">
        <w:rPr>
          <w:rFonts w:ascii="Arial" w:hAnsi="Arial" w:cs="Arial"/>
          <w:sz w:val="24"/>
          <w:szCs w:val="24"/>
        </w:rPr>
        <w:t xml:space="preserve">que existe </w:t>
      </w:r>
      <w:r>
        <w:rPr>
          <w:rFonts w:ascii="Arial" w:hAnsi="Arial" w:cs="Arial"/>
          <w:sz w:val="24"/>
          <w:szCs w:val="24"/>
        </w:rPr>
        <w:t>entre las variables</w:t>
      </w:r>
      <w:r w:rsidR="006C397E">
        <w:rPr>
          <w:rFonts w:ascii="Arial" w:hAnsi="Arial" w:cs="Arial"/>
          <w:sz w:val="24"/>
          <w:szCs w:val="24"/>
        </w:rPr>
        <w:t>:</w:t>
      </w:r>
      <w:r>
        <w:rPr>
          <w:rFonts w:ascii="Arial" w:hAnsi="Arial" w:cs="Arial"/>
          <w:sz w:val="24"/>
          <w:szCs w:val="24"/>
        </w:rPr>
        <w:t xml:space="preserve"> red de apoyo social y síndrome de burnout</w:t>
      </w:r>
      <w:r w:rsidR="006C397E">
        <w:rPr>
          <w:rFonts w:ascii="Arial" w:hAnsi="Arial" w:cs="Arial"/>
          <w:sz w:val="24"/>
          <w:szCs w:val="24"/>
        </w:rPr>
        <w:t>,</w:t>
      </w:r>
      <w:r>
        <w:rPr>
          <w:rFonts w:ascii="Arial" w:hAnsi="Arial" w:cs="Arial"/>
          <w:sz w:val="24"/>
          <w:szCs w:val="24"/>
        </w:rPr>
        <w:t xml:space="preserve"> en</w:t>
      </w:r>
      <w:r w:rsidRPr="00444EA0">
        <w:rPr>
          <w:rFonts w:ascii="Arial" w:hAnsi="Arial" w:cs="Arial"/>
          <w:sz w:val="24"/>
          <w:szCs w:val="24"/>
        </w:rPr>
        <w:t xml:space="preserve"> los alumnos de licenciatura de la Universidad Pedagógica de Durango.</w:t>
      </w:r>
    </w:p>
    <w:p w:rsidR="00F27E64" w:rsidRDefault="00F27E64" w:rsidP="004C2E42">
      <w:pPr>
        <w:spacing w:after="0" w:line="240" w:lineRule="auto"/>
        <w:rPr>
          <w:rFonts w:ascii="Arial" w:hAnsi="Arial" w:cs="Arial"/>
          <w:sz w:val="24"/>
          <w:szCs w:val="24"/>
        </w:rPr>
      </w:pPr>
    </w:p>
    <w:p w:rsidR="00F27E64" w:rsidRPr="00444EA0" w:rsidRDefault="00444EA0" w:rsidP="004C2E42">
      <w:pPr>
        <w:spacing w:after="0" w:line="240" w:lineRule="auto"/>
        <w:rPr>
          <w:rFonts w:ascii="Arial" w:hAnsi="Arial" w:cs="Arial"/>
          <w:b/>
          <w:sz w:val="24"/>
          <w:szCs w:val="24"/>
        </w:rPr>
      </w:pPr>
      <w:r w:rsidRPr="00444EA0">
        <w:rPr>
          <w:rFonts w:ascii="Arial" w:hAnsi="Arial" w:cs="Arial"/>
          <w:b/>
          <w:sz w:val="24"/>
          <w:szCs w:val="24"/>
        </w:rPr>
        <w:t>Método</w:t>
      </w:r>
    </w:p>
    <w:p w:rsidR="00444EA0" w:rsidRDefault="00444EA0" w:rsidP="004C2E42">
      <w:pPr>
        <w:spacing w:after="0" w:line="240" w:lineRule="auto"/>
        <w:rPr>
          <w:rFonts w:ascii="Arial" w:hAnsi="Arial" w:cs="Arial"/>
          <w:sz w:val="24"/>
          <w:szCs w:val="24"/>
        </w:rPr>
      </w:pPr>
    </w:p>
    <w:p w:rsidR="00DE5BDA" w:rsidRPr="00DE5BDA" w:rsidRDefault="006966AD" w:rsidP="004C2E42">
      <w:pPr>
        <w:spacing w:after="0" w:line="240" w:lineRule="auto"/>
        <w:rPr>
          <w:rFonts w:ascii="Arial" w:hAnsi="Arial" w:cs="Arial"/>
          <w:b/>
          <w:sz w:val="24"/>
          <w:szCs w:val="24"/>
        </w:rPr>
      </w:pPr>
      <w:r>
        <w:rPr>
          <w:rFonts w:ascii="Arial" w:hAnsi="Arial" w:cs="Arial"/>
          <w:b/>
          <w:sz w:val="24"/>
          <w:szCs w:val="24"/>
        </w:rPr>
        <w:tab/>
      </w:r>
      <w:r w:rsidR="00DE5BDA" w:rsidRPr="00DE5BDA">
        <w:rPr>
          <w:rFonts w:ascii="Arial" w:hAnsi="Arial" w:cs="Arial"/>
          <w:b/>
          <w:sz w:val="24"/>
          <w:szCs w:val="24"/>
        </w:rPr>
        <w:t>Participantes</w:t>
      </w:r>
    </w:p>
    <w:p w:rsidR="00DE5BDA" w:rsidRDefault="00DE5BDA" w:rsidP="004C2E42">
      <w:pPr>
        <w:spacing w:after="0" w:line="240" w:lineRule="auto"/>
        <w:rPr>
          <w:rFonts w:ascii="Arial" w:hAnsi="Arial" w:cs="Arial"/>
          <w:sz w:val="24"/>
          <w:szCs w:val="24"/>
        </w:rPr>
      </w:pPr>
    </w:p>
    <w:p w:rsidR="00E76F21" w:rsidRDefault="00E76F21" w:rsidP="004C2E42">
      <w:pPr>
        <w:spacing w:after="0" w:line="240" w:lineRule="auto"/>
        <w:rPr>
          <w:rFonts w:ascii="Arial" w:hAnsi="Arial" w:cs="Arial"/>
          <w:sz w:val="24"/>
          <w:szCs w:val="24"/>
        </w:rPr>
      </w:pPr>
      <w:r>
        <w:rPr>
          <w:rFonts w:ascii="Arial" w:hAnsi="Arial" w:cs="Arial"/>
          <w:sz w:val="24"/>
          <w:szCs w:val="24"/>
        </w:rPr>
        <w:t>Para la presente investigación se tomó como participantes a los alumnos de la Licenciatura en intervención Educativa</w:t>
      </w:r>
      <w:r w:rsidR="006F6A43">
        <w:rPr>
          <w:rFonts w:ascii="Arial" w:hAnsi="Arial" w:cs="Arial"/>
          <w:sz w:val="24"/>
          <w:szCs w:val="24"/>
        </w:rPr>
        <w:t xml:space="preserve"> de la Universidad Pedagógica de Durango</w:t>
      </w:r>
      <w:r>
        <w:rPr>
          <w:rFonts w:ascii="Arial" w:hAnsi="Arial" w:cs="Arial"/>
          <w:sz w:val="24"/>
          <w:szCs w:val="24"/>
        </w:rPr>
        <w:t xml:space="preserve">. En total se lograron aplicar </w:t>
      </w:r>
      <w:r w:rsidR="006966AD">
        <w:rPr>
          <w:rFonts w:ascii="Arial" w:hAnsi="Arial" w:cs="Arial"/>
          <w:sz w:val="24"/>
          <w:szCs w:val="24"/>
        </w:rPr>
        <w:t xml:space="preserve">145 cuestionarios; la distribución de los alumnos </w:t>
      </w:r>
      <w:r w:rsidR="006966AD">
        <w:rPr>
          <w:rFonts w:ascii="Arial" w:hAnsi="Arial" w:cs="Arial"/>
          <w:sz w:val="24"/>
          <w:szCs w:val="24"/>
        </w:rPr>
        <w:lastRenderedPageBreak/>
        <w:t xml:space="preserve">encuestados, según las variables sociodemográficas incluidas en el </w:t>
      </w:r>
      <w:proofErr w:type="spellStart"/>
      <w:r w:rsidR="006966AD">
        <w:rPr>
          <w:rFonts w:ascii="Arial" w:hAnsi="Arial" w:cs="Arial"/>
          <w:sz w:val="24"/>
          <w:szCs w:val="24"/>
        </w:rPr>
        <w:t>background</w:t>
      </w:r>
      <w:proofErr w:type="spellEnd"/>
      <w:r w:rsidR="006966AD">
        <w:rPr>
          <w:rFonts w:ascii="Arial" w:hAnsi="Arial" w:cs="Arial"/>
          <w:sz w:val="24"/>
          <w:szCs w:val="24"/>
        </w:rPr>
        <w:t xml:space="preserve"> del cuestionario,  son las siguientes:</w:t>
      </w:r>
    </w:p>
    <w:p w:rsidR="00E76F21" w:rsidRDefault="006966AD" w:rsidP="006966AD">
      <w:pPr>
        <w:pStyle w:val="Prrafodelista"/>
        <w:numPr>
          <w:ilvl w:val="0"/>
          <w:numId w:val="1"/>
        </w:numPr>
        <w:spacing w:after="0" w:line="240" w:lineRule="auto"/>
        <w:rPr>
          <w:rFonts w:ascii="Arial" w:hAnsi="Arial" w:cs="Arial"/>
          <w:sz w:val="24"/>
          <w:szCs w:val="24"/>
        </w:rPr>
      </w:pPr>
      <w:r>
        <w:rPr>
          <w:rFonts w:ascii="Arial" w:hAnsi="Arial" w:cs="Arial"/>
          <w:sz w:val="24"/>
          <w:szCs w:val="24"/>
        </w:rPr>
        <w:t>El 37.9% de los alumnos pertenecen al género masculino y el 62.1% al género femenino.</w:t>
      </w:r>
    </w:p>
    <w:p w:rsidR="006966AD" w:rsidRDefault="006966AD" w:rsidP="006966AD">
      <w:pPr>
        <w:pStyle w:val="Prrafodelista"/>
        <w:numPr>
          <w:ilvl w:val="0"/>
          <w:numId w:val="1"/>
        </w:numPr>
        <w:spacing w:after="0" w:line="240" w:lineRule="auto"/>
        <w:rPr>
          <w:rFonts w:ascii="Arial" w:hAnsi="Arial" w:cs="Arial"/>
          <w:sz w:val="24"/>
          <w:szCs w:val="24"/>
        </w:rPr>
      </w:pPr>
      <w:r>
        <w:rPr>
          <w:rFonts w:ascii="Arial" w:hAnsi="Arial" w:cs="Arial"/>
          <w:sz w:val="24"/>
          <w:szCs w:val="24"/>
        </w:rPr>
        <w:t>La edad mínima era de 18 año, la máxima de 31 años y el promedio era de 21 años.</w:t>
      </w:r>
    </w:p>
    <w:p w:rsidR="006966AD" w:rsidRPr="006966AD" w:rsidRDefault="006966AD" w:rsidP="006966AD">
      <w:pPr>
        <w:pStyle w:val="Prrafodelista"/>
        <w:numPr>
          <w:ilvl w:val="0"/>
          <w:numId w:val="1"/>
        </w:numPr>
        <w:spacing w:after="0" w:line="240" w:lineRule="auto"/>
        <w:rPr>
          <w:rFonts w:ascii="Arial" w:hAnsi="Arial" w:cs="Arial"/>
          <w:sz w:val="24"/>
          <w:szCs w:val="24"/>
        </w:rPr>
      </w:pPr>
      <w:r>
        <w:rPr>
          <w:rFonts w:ascii="Arial" w:hAnsi="Arial" w:cs="Arial"/>
          <w:sz w:val="24"/>
          <w:szCs w:val="24"/>
        </w:rPr>
        <w:t>El 32.4% de los alumnos cursaban el segundo semestre al momento de la aplicación del cuestionario, el 33.8% cursaban el cuarto semestre, el 19.3% cursaban el sexto semestre y 14.5% cursaban el octavo semestre.</w:t>
      </w:r>
    </w:p>
    <w:p w:rsidR="006966AD" w:rsidRDefault="006966AD" w:rsidP="004C2E42">
      <w:pPr>
        <w:spacing w:after="0" w:line="240" w:lineRule="auto"/>
        <w:rPr>
          <w:rFonts w:ascii="Arial" w:hAnsi="Arial" w:cs="Arial"/>
          <w:sz w:val="24"/>
          <w:szCs w:val="24"/>
        </w:rPr>
      </w:pPr>
    </w:p>
    <w:p w:rsidR="00DE5BDA" w:rsidRPr="00DE5BDA" w:rsidRDefault="006966AD" w:rsidP="004C2E42">
      <w:pPr>
        <w:spacing w:after="0" w:line="240" w:lineRule="auto"/>
        <w:rPr>
          <w:rFonts w:ascii="Arial" w:hAnsi="Arial" w:cs="Arial"/>
          <w:b/>
          <w:sz w:val="24"/>
          <w:szCs w:val="24"/>
        </w:rPr>
      </w:pPr>
      <w:r>
        <w:rPr>
          <w:rFonts w:ascii="Arial" w:hAnsi="Arial" w:cs="Arial"/>
          <w:b/>
          <w:sz w:val="24"/>
          <w:szCs w:val="24"/>
        </w:rPr>
        <w:tab/>
      </w:r>
      <w:r w:rsidR="00DE5BDA" w:rsidRPr="00DE5BDA">
        <w:rPr>
          <w:rFonts w:ascii="Arial" w:hAnsi="Arial" w:cs="Arial"/>
          <w:b/>
          <w:sz w:val="24"/>
          <w:szCs w:val="24"/>
        </w:rPr>
        <w:t>Instrumento</w:t>
      </w:r>
    </w:p>
    <w:p w:rsidR="001B3525" w:rsidRDefault="001B3525" w:rsidP="00DE5BDA">
      <w:pPr>
        <w:spacing w:after="0" w:line="240" w:lineRule="auto"/>
        <w:rPr>
          <w:rFonts w:ascii="Arial" w:hAnsi="Arial" w:cs="Arial"/>
          <w:sz w:val="24"/>
          <w:szCs w:val="24"/>
        </w:rPr>
      </w:pPr>
    </w:p>
    <w:p w:rsidR="001B3525" w:rsidRDefault="001B3525" w:rsidP="00DE5BDA">
      <w:pPr>
        <w:spacing w:after="0" w:line="240" w:lineRule="auto"/>
        <w:rPr>
          <w:rFonts w:ascii="Arial" w:hAnsi="Arial" w:cs="Arial"/>
          <w:sz w:val="24"/>
          <w:szCs w:val="24"/>
        </w:rPr>
      </w:pPr>
      <w:r>
        <w:rPr>
          <w:rFonts w:ascii="Arial" w:hAnsi="Arial" w:cs="Arial"/>
          <w:sz w:val="24"/>
          <w:szCs w:val="24"/>
        </w:rPr>
        <w:t>En la presente in</w:t>
      </w:r>
      <w:r w:rsidR="00DE5BDA" w:rsidRPr="00DE5BDA">
        <w:rPr>
          <w:rFonts w:ascii="Arial" w:hAnsi="Arial" w:cs="Arial"/>
          <w:sz w:val="24"/>
          <w:szCs w:val="24"/>
        </w:rPr>
        <w:t>vestigación</w:t>
      </w:r>
      <w:r>
        <w:rPr>
          <w:rFonts w:ascii="Arial" w:hAnsi="Arial" w:cs="Arial"/>
          <w:sz w:val="24"/>
          <w:szCs w:val="24"/>
        </w:rPr>
        <w:t>,</w:t>
      </w:r>
      <w:r w:rsidR="00DE5BDA" w:rsidRPr="00DE5BDA">
        <w:rPr>
          <w:rFonts w:ascii="Arial" w:hAnsi="Arial" w:cs="Arial"/>
          <w:sz w:val="24"/>
          <w:szCs w:val="24"/>
        </w:rPr>
        <w:t xml:space="preserve"> de tipo correlacional, transversal y no experimental</w:t>
      </w:r>
      <w:r>
        <w:rPr>
          <w:rFonts w:ascii="Arial" w:hAnsi="Arial" w:cs="Arial"/>
          <w:sz w:val="24"/>
          <w:szCs w:val="24"/>
        </w:rPr>
        <w:t>,</w:t>
      </w:r>
      <w:r w:rsidR="00DE5BDA" w:rsidRPr="00DE5BDA">
        <w:rPr>
          <w:rFonts w:ascii="Arial" w:hAnsi="Arial" w:cs="Arial"/>
          <w:sz w:val="24"/>
          <w:szCs w:val="24"/>
        </w:rPr>
        <w:t xml:space="preserve"> se </w:t>
      </w:r>
      <w:r>
        <w:rPr>
          <w:rFonts w:ascii="Arial" w:hAnsi="Arial" w:cs="Arial"/>
          <w:sz w:val="24"/>
          <w:szCs w:val="24"/>
        </w:rPr>
        <w:t xml:space="preserve">recolectó </w:t>
      </w:r>
      <w:r w:rsidR="00DE5BDA" w:rsidRPr="00DE5BDA">
        <w:rPr>
          <w:rFonts w:ascii="Arial" w:hAnsi="Arial" w:cs="Arial"/>
          <w:sz w:val="24"/>
          <w:szCs w:val="24"/>
        </w:rPr>
        <w:t>la información mediante la Escala U</w:t>
      </w:r>
      <w:r>
        <w:rPr>
          <w:rFonts w:ascii="Arial" w:hAnsi="Arial" w:cs="Arial"/>
          <w:sz w:val="24"/>
          <w:szCs w:val="24"/>
        </w:rPr>
        <w:t>nidimensional del Burnout Estu</w:t>
      </w:r>
      <w:r w:rsidR="00DE5BDA" w:rsidRPr="00DE5BDA">
        <w:rPr>
          <w:rFonts w:ascii="Arial" w:hAnsi="Arial" w:cs="Arial"/>
          <w:sz w:val="24"/>
          <w:szCs w:val="24"/>
        </w:rPr>
        <w:t>diantil</w:t>
      </w:r>
      <w:r>
        <w:rPr>
          <w:rFonts w:ascii="Arial" w:hAnsi="Arial" w:cs="Arial"/>
          <w:sz w:val="24"/>
          <w:szCs w:val="24"/>
        </w:rPr>
        <w:t xml:space="preserve"> (Barraza, 2011)</w:t>
      </w:r>
      <w:r w:rsidR="00DE5BDA" w:rsidRPr="00DE5BDA">
        <w:rPr>
          <w:rFonts w:ascii="Arial" w:hAnsi="Arial" w:cs="Arial"/>
          <w:sz w:val="24"/>
          <w:szCs w:val="24"/>
        </w:rPr>
        <w:t xml:space="preserve">. </w:t>
      </w:r>
    </w:p>
    <w:p w:rsidR="00DE5BDA" w:rsidRDefault="001B3525" w:rsidP="00DE5BDA">
      <w:pPr>
        <w:spacing w:after="0" w:line="240" w:lineRule="auto"/>
        <w:rPr>
          <w:rFonts w:ascii="Arial" w:hAnsi="Arial" w:cs="Arial"/>
          <w:sz w:val="24"/>
          <w:szCs w:val="24"/>
        </w:rPr>
      </w:pPr>
      <w:r>
        <w:rPr>
          <w:rFonts w:ascii="Arial" w:hAnsi="Arial" w:cs="Arial"/>
          <w:sz w:val="24"/>
          <w:szCs w:val="24"/>
        </w:rPr>
        <w:tab/>
      </w:r>
      <w:r w:rsidR="00DE5BDA" w:rsidRPr="00DE5BDA">
        <w:rPr>
          <w:rFonts w:ascii="Arial" w:hAnsi="Arial" w:cs="Arial"/>
          <w:sz w:val="24"/>
          <w:szCs w:val="24"/>
        </w:rPr>
        <w:t>Esta escala consta de quin</w:t>
      </w:r>
      <w:r>
        <w:rPr>
          <w:rFonts w:ascii="Arial" w:hAnsi="Arial" w:cs="Arial"/>
          <w:sz w:val="24"/>
          <w:szCs w:val="24"/>
        </w:rPr>
        <w:t xml:space="preserve">ce ítems que pueden ser respondidos </w:t>
      </w:r>
      <w:r w:rsidR="00DE5BDA" w:rsidRPr="00DE5BDA">
        <w:rPr>
          <w:rFonts w:ascii="Arial" w:hAnsi="Arial" w:cs="Arial"/>
          <w:sz w:val="24"/>
          <w:szCs w:val="24"/>
        </w:rPr>
        <w:t xml:space="preserve">mediante un escalamiento tipo </w:t>
      </w:r>
      <w:proofErr w:type="spellStart"/>
      <w:r w:rsidR="00DE5BDA" w:rsidRPr="00DE5BDA">
        <w:rPr>
          <w:rFonts w:ascii="Arial" w:hAnsi="Arial" w:cs="Arial"/>
          <w:sz w:val="24"/>
          <w:szCs w:val="24"/>
        </w:rPr>
        <w:t>Lickert</w:t>
      </w:r>
      <w:proofErr w:type="spellEnd"/>
      <w:r w:rsidR="00DE5BDA" w:rsidRPr="00DE5BDA">
        <w:rPr>
          <w:rFonts w:ascii="Arial" w:hAnsi="Arial" w:cs="Arial"/>
          <w:sz w:val="24"/>
          <w:szCs w:val="24"/>
        </w:rPr>
        <w:t xml:space="preserve"> de</w:t>
      </w:r>
      <w:r>
        <w:rPr>
          <w:rFonts w:ascii="Arial" w:hAnsi="Arial" w:cs="Arial"/>
          <w:sz w:val="24"/>
          <w:szCs w:val="24"/>
        </w:rPr>
        <w:t xml:space="preserve"> cuatro valores: nunca, algunas </w:t>
      </w:r>
      <w:r w:rsidR="00DE5BDA" w:rsidRPr="00DE5BDA">
        <w:rPr>
          <w:rFonts w:ascii="Arial" w:hAnsi="Arial" w:cs="Arial"/>
          <w:sz w:val="24"/>
          <w:szCs w:val="24"/>
        </w:rPr>
        <w:t>veces, casi siempre y siempre. La dist</w:t>
      </w:r>
      <w:r>
        <w:rPr>
          <w:rFonts w:ascii="Arial" w:hAnsi="Arial" w:cs="Arial"/>
          <w:sz w:val="24"/>
          <w:szCs w:val="24"/>
        </w:rPr>
        <w:t xml:space="preserve">ribución de los ítems, según las </w:t>
      </w:r>
      <w:r w:rsidR="00DE5BDA" w:rsidRPr="00DE5BDA">
        <w:rPr>
          <w:rFonts w:ascii="Arial" w:hAnsi="Arial" w:cs="Arial"/>
          <w:sz w:val="24"/>
          <w:szCs w:val="24"/>
        </w:rPr>
        <w:t>dimensiones establecidas</w:t>
      </w:r>
      <w:r>
        <w:rPr>
          <w:rFonts w:ascii="Arial" w:hAnsi="Arial" w:cs="Arial"/>
          <w:sz w:val="24"/>
          <w:szCs w:val="24"/>
        </w:rPr>
        <w:t>,</w:t>
      </w:r>
      <w:r w:rsidR="00DE5BDA" w:rsidRPr="00DE5BDA">
        <w:rPr>
          <w:rFonts w:ascii="Arial" w:hAnsi="Arial" w:cs="Arial"/>
          <w:sz w:val="24"/>
          <w:szCs w:val="24"/>
        </w:rPr>
        <w:t xml:space="preserve"> fue la siguiente:</w:t>
      </w:r>
    </w:p>
    <w:p w:rsidR="001B3525" w:rsidRPr="00DE5BDA" w:rsidRDefault="001B3525" w:rsidP="00DE5BDA">
      <w:pPr>
        <w:spacing w:after="0" w:line="240" w:lineRule="auto"/>
        <w:rPr>
          <w:rFonts w:ascii="Arial" w:hAnsi="Arial" w:cs="Arial"/>
          <w:sz w:val="24"/>
          <w:szCs w:val="24"/>
        </w:rPr>
      </w:pPr>
    </w:p>
    <w:p w:rsidR="00DE5BDA" w:rsidRPr="00DE5BDA" w:rsidRDefault="00DE5BDA" w:rsidP="00DE5BDA">
      <w:pPr>
        <w:spacing w:after="0" w:line="240" w:lineRule="auto"/>
        <w:rPr>
          <w:rFonts w:ascii="Arial" w:hAnsi="Arial" w:cs="Arial"/>
          <w:sz w:val="24"/>
          <w:szCs w:val="24"/>
        </w:rPr>
      </w:pPr>
      <w:r w:rsidRPr="00DE5BDA">
        <w:rPr>
          <w:rFonts w:ascii="Arial" w:hAnsi="Arial" w:cs="Arial"/>
          <w:sz w:val="24"/>
          <w:szCs w:val="24"/>
        </w:rPr>
        <w:t>• Indicadores comportamentales: ítems 1, 2, 3, 4, 5, 7, 9, 11, 14 y 15.</w:t>
      </w:r>
    </w:p>
    <w:p w:rsidR="00DE5BDA" w:rsidRPr="00DE5BDA" w:rsidRDefault="00DE5BDA" w:rsidP="00DE5BDA">
      <w:pPr>
        <w:spacing w:after="0" w:line="240" w:lineRule="auto"/>
        <w:rPr>
          <w:rFonts w:ascii="Arial" w:hAnsi="Arial" w:cs="Arial"/>
          <w:sz w:val="24"/>
          <w:szCs w:val="24"/>
        </w:rPr>
      </w:pPr>
      <w:r w:rsidRPr="00DE5BDA">
        <w:rPr>
          <w:rFonts w:ascii="Arial" w:hAnsi="Arial" w:cs="Arial"/>
          <w:sz w:val="24"/>
          <w:szCs w:val="24"/>
        </w:rPr>
        <w:t>• Indicadores actitudinales: ítems 6, 8, 10, 12 y 13.</w:t>
      </w:r>
    </w:p>
    <w:p w:rsidR="001B3525" w:rsidRDefault="001B3525" w:rsidP="001B3525">
      <w:pPr>
        <w:spacing w:after="0" w:line="240" w:lineRule="auto"/>
        <w:rPr>
          <w:rFonts w:ascii="Arial" w:hAnsi="Arial" w:cs="Arial"/>
          <w:sz w:val="24"/>
          <w:szCs w:val="24"/>
        </w:rPr>
      </w:pPr>
      <w:r>
        <w:rPr>
          <w:rFonts w:ascii="Arial" w:hAnsi="Arial" w:cs="Arial"/>
          <w:sz w:val="24"/>
          <w:szCs w:val="24"/>
        </w:rPr>
        <w:tab/>
      </w:r>
    </w:p>
    <w:p w:rsidR="00DE5BDA" w:rsidRDefault="001B3525" w:rsidP="001B3525">
      <w:pPr>
        <w:spacing w:after="0" w:line="240" w:lineRule="auto"/>
        <w:rPr>
          <w:rFonts w:ascii="Arial" w:hAnsi="Arial" w:cs="Arial"/>
          <w:sz w:val="24"/>
          <w:szCs w:val="24"/>
        </w:rPr>
      </w:pPr>
      <w:r>
        <w:rPr>
          <w:rFonts w:ascii="Arial" w:hAnsi="Arial" w:cs="Arial"/>
          <w:sz w:val="24"/>
          <w:szCs w:val="24"/>
        </w:rPr>
        <w:tab/>
        <w:t>La escala reportó originalmente</w:t>
      </w:r>
      <w:r w:rsidR="00DE5BDA" w:rsidRPr="00DE5BDA">
        <w:rPr>
          <w:rFonts w:ascii="Arial" w:hAnsi="Arial" w:cs="Arial"/>
          <w:sz w:val="24"/>
          <w:szCs w:val="24"/>
        </w:rPr>
        <w:t xml:space="preserve"> una confiabilidad de .91 seg</w:t>
      </w:r>
      <w:r>
        <w:rPr>
          <w:rFonts w:ascii="Arial" w:hAnsi="Arial" w:cs="Arial"/>
          <w:sz w:val="24"/>
          <w:szCs w:val="24"/>
        </w:rPr>
        <w:t xml:space="preserve">ún el coeficiente alfa de </w:t>
      </w:r>
      <w:proofErr w:type="spellStart"/>
      <w:r>
        <w:rPr>
          <w:rFonts w:ascii="Arial" w:hAnsi="Arial" w:cs="Arial"/>
          <w:sz w:val="24"/>
          <w:szCs w:val="24"/>
        </w:rPr>
        <w:t>Cron</w:t>
      </w:r>
      <w:r w:rsidR="00DE5BDA" w:rsidRPr="00DE5BDA">
        <w:rPr>
          <w:rFonts w:ascii="Arial" w:hAnsi="Arial" w:cs="Arial"/>
          <w:sz w:val="24"/>
          <w:szCs w:val="24"/>
        </w:rPr>
        <w:t>bach</w:t>
      </w:r>
      <w:proofErr w:type="spellEnd"/>
      <w:r w:rsidR="00DE5BDA" w:rsidRPr="00DE5BDA">
        <w:rPr>
          <w:rFonts w:ascii="Arial" w:hAnsi="Arial" w:cs="Arial"/>
          <w:sz w:val="24"/>
          <w:szCs w:val="24"/>
        </w:rPr>
        <w:t>, y de .89 en la confiabilidad por mit</w:t>
      </w:r>
      <w:r>
        <w:rPr>
          <w:rFonts w:ascii="Arial" w:hAnsi="Arial" w:cs="Arial"/>
          <w:sz w:val="24"/>
          <w:szCs w:val="24"/>
        </w:rPr>
        <w:t xml:space="preserve">ades según la fórmula de </w:t>
      </w:r>
      <w:proofErr w:type="spellStart"/>
      <w:r>
        <w:rPr>
          <w:rFonts w:ascii="Arial" w:hAnsi="Arial" w:cs="Arial"/>
          <w:sz w:val="24"/>
          <w:szCs w:val="24"/>
        </w:rPr>
        <w:t>Spear</w:t>
      </w:r>
      <w:r w:rsidR="00DE5BDA" w:rsidRPr="00DE5BDA">
        <w:rPr>
          <w:rFonts w:ascii="Arial" w:hAnsi="Arial" w:cs="Arial"/>
          <w:sz w:val="24"/>
          <w:szCs w:val="24"/>
        </w:rPr>
        <w:t>man</w:t>
      </w:r>
      <w:proofErr w:type="spellEnd"/>
      <w:r w:rsidR="00DE5BDA" w:rsidRPr="00DE5BDA">
        <w:rPr>
          <w:rFonts w:ascii="Arial" w:hAnsi="Arial" w:cs="Arial"/>
          <w:sz w:val="24"/>
          <w:szCs w:val="24"/>
        </w:rPr>
        <w:t xml:space="preserve">-Brown. </w:t>
      </w:r>
      <w:r w:rsidR="00AA6090" w:rsidRPr="00DE5BDA">
        <w:rPr>
          <w:rFonts w:ascii="Arial" w:hAnsi="Arial" w:cs="Arial"/>
          <w:sz w:val="24"/>
          <w:szCs w:val="24"/>
        </w:rPr>
        <w:t>Así</w:t>
      </w:r>
      <w:r w:rsidR="00DE5BDA" w:rsidRPr="00DE5BDA">
        <w:rPr>
          <w:rFonts w:ascii="Arial" w:hAnsi="Arial" w:cs="Arial"/>
          <w:sz w:val="24"/>
          <w:szCs w:val="24"/>
        </w:rPr>
        <w:t xml:space="preserve">mismo, en su construcción </w:t>
      </w:r>
      <w:r>
        <w:rPr>
          <w:rFonts w:ascii="Arial" w:hAnsi="Arial" w:cs="Arial"/>
          <w:sz w:val="24"/>
          <w:szCs w:val="24"/>
        </w:rPr>
        <w:t xml:space="preserve">y validación </w:t>
      </w:r>
      <w:r w:rsidR="00DE5BDA" w:rsidRPr="00DE5BDA">
        <w:rPr>
          <w:rFonts w:ascii="Arial" w:hAnsi="Arial" w:cs="Arial"/>
          <w:sz w:val="24"/>
          <w:szCs w:val="24"/>
        </w:rPr>
        <w:t>se obtuvier</w:t>
      </w:r>
      <w:r>
        <w:rPr>
          <w:rFonts w:ascii="Arial" w:hAnsi="Arial" w:cs="Arial"/>
          <w:sz w:val="24"/>
          <w:szCs w:val="24"/>
        </w:rPr>
        <w:t>on evidencias de validez basad</w:t>
      </w:r>
      <w:r w:rsidR="00DE5BDA" w:rsidRPr="00DE5BDA">
        <w:rPr>
          <w:rFonts w:ascii="Arial" w:hAnsi="Arial" w:cs="Arial"/>
          <w:sz w:val="24"/>
          <w:szCs w:val="24"/>
        </w:rPr>
        <w:t>as en la estructura interna mediante los procedimientos</w:t>
      </w:r>
      <w:r w:rsidRPr="001B3525">
        <w:rPr>
          <w:rFonts w:ascii="Arial" w:hAnsi="Arial" w:cs="Arial"/>
          <w:sz w:val="24"/>
          <w:szCs w:val="24"/>
        </w:rPr>
        <w:t>de análisis de consistencia interna, de</w:t>
      </w:r>
      <w:r>
        <w:rPr>
          <w:rFonts w:ascii="Arial" w:hAnsi="Arial" w:cs="Arial"/>
          <w:sz w:val="24"/>
          <w:szCs w:val="24"/>
        </w:rPr>
        <w:t xml:space="preserve"> grupos contrastados y análisis </w:t>
      </w:r>
      <w:r w:rsidRPr="001B3525">
        <w:rPr>
          <w:rFonts w:ascii="Arial" w:hAnsi="Arial" w:cs="Arial"/>
          <w:sz w:val="24"/>
          <w:szCs w:val="24"/>
        </w:rPr>
        <w:t>factorial</w:t>
      </w:r>
      <w:r>
        <w:rPr>
          <w:rFonts w:ascii="Arial" w:hAnsi="Arial" w:cs="Arial"/>
          <w:sz w:val="24"/>
          <w:szCs w:val="24"/>
        </w:rPr>
        <w:t xml:space="preserve"> (Barraza, 2011)</w:t>
      </w:r>
      <w:r w:rsidRPr="001B3525">
        <w:rPr>
          <w:rFonts w:ascii="Arial" w:hAnsi="Arial" w:cs="Arial"/>
          <w:sz w:val="24"/>
          <w:szCs w:val="24"/>
        </w:rPr>
        <w:t>.</w:t>
      </w:r>
    </w:p>
    <w:p w:rsidR="00F03B17" w:rsidRPr="00F03B17" w:rsidRDefault="00AB21C4" w:rsidP="006F6A43">
      <w:pPr>
        <w:spacing w:after="0" w:line="240" w:lineRule="auto"/>
        <w:rPr>
          <w:rFonts w:ascii="Arial" w:hAnsi="Arial" w:cs="Arial"/>
          <w:color w:val="FF0000"/>
          <w:sz w:val="24"/>
          <w:szCs w:val="24"/>
        </w:rPr>
      </w:pPr>
      <w:r>
        <w:rPr>
          <w:rFonts w:ascii="Arial" w:hAnsi="Arial" w:cs="Arial"/>
          <w:sz w:val="24"/>
          <w:szCs w:val="24"/>
        </w:rPr>
        <w:tab/>
      </w:r>
      <w:r w:rsidR="006966AD">
        <w:rPr>
          <w:rFonts w:ascii="Arial" w:hAnsi="Arial" w:cs="Arial"/>
          <w:sz w:val="24"/>
          <w:szCs w:val="24"/>
        </w:rPr>
        <w:t>En la presente aplicación la escala reportó una confiabilidad de .94</w:t>
      </w:r>
      <w:r w:rsidR="006966AD" w:rsidRPr="006966AD">
        <w:rPr>
          <w:rFonts w:ascii="Arial" w:hAnsi="Arial" w:cs="Arial"/>
          <w:sz w:val="24"/>
          <w:szCs w:val="24"/>
        </w:rPr>
        <w:t xml:space="preserve"> según el coefic</w:t>
      </w:r>
      <w:r w:rsidR="006966AD">
        <w:rPr>
          <w:rFonts w:ascii="Arial" w:hAnsi="Arial" w:cs="Arial"/>
          <w:sz w:val="24"/>
          <w:szCs w:val="24"/>
        </w:rPr>
        <w:t xml:space="preserve">iente alfa de </w:t>
      </w:r>
      <w:proofErr w:type="spellStart"/>
      <w:r w:rsidR="006966AD">
        <w:rPr>
          <w:rFonts w:ascii="Arial" w:hAnsi="Arial" w:cs="Arial"/>
          <w:sz w:val="24"/>
          <w:szCs w:val="24"/>
        </w:rPr>
        <w:t>Cronbach</w:t>
      </w:r>
      <w:proofErr w:type="spellEnd"/>
      <w:r w:rsidR="006966AD">
        <w:rPr>
          <w:rFonts w:ascii="Arial" w:hAnsi="Arial" w:cs="Arial"/>
          <w:sz w:val="24"/>
          <w:szCs w:val="24"/>
        </w:rPr>
        <w:t>, y de .91</w:t>
      </w:r>
      <w:r w:rsidR="006966AD" w:rsidRPr="006966AD">
        <w:rPr>
          <w:rFonts w:ascii="Arial" w:hAnsi="Arial" w:cs="Arial"/>
          <w:sz w:val="24"/>
          <w:szCs w:val="24"/>
        </w:rPr>
        <w:t xml:space="preserve"> en la confiabilidad por mitades según la fórmula de </w:t>
      </w:r>
      <w:proofErr w:type="spellStart"/>
      <w:r w:rsidR="006966AD" w:rsidRPr="006966AD">
        <w:rPr>
          <w:rFonts w:ascii="Arial" w:hAnsi="Arial" w:cs="Arial"/>
          <w:sz w:val="24"/>
          <w:szCs w:val="24"/>
        </w:rPr>
        <w:t>Spearman</w:t>
      </w:r>
      <w:proofErr w:type="spellEnd"/>
      <w:r w:rsidR="006966AD" w:rsidRPr="006966AD">
        <w:rPr>
          <w:rFonts w:ascii="Arial" w:hAnsi="Arial" w:cs="Arial"/>
          <w:sz w:val="24"/>
          <w:szCs w:val="24"/>
        </w:rPr>
        <w:t>-Brown.</w:t>
      </w:r>
    </w:p>
    <w:p w:rsidR="001B3525" w:rsidRDefault="001B3525" w:rsidP="006F6A43">
      <w:pPr>
        <w:spacing w:after="0" w:line="240" w:lineRule="auto"/>
        <w:rPr>
          <w:rFonts w:ascii="Arial" w:hAnsi="Arial" w:cs="Arial"/>
          <w:sz w:val="24"/>
          <w:szCs w:val="24"/>
        </w:rPr>
      </w:pPr>
      <w:r>
        <w:rPr>
          <w:rFonts w:ascii="Arial" w:hAnsi="Arial" w:cs="Arial"/>
          <w:b/>
          <w:sz w:val="24"/>
          <w:szCs w:val="24"/>
        </w:rPr>
        <w:tab/>
      </w:r>
      <w:r w:rsidRPr="001B3525">
        <w:rPr>
          <w:rFonts w:ascii="Arial" w:hAnsi="Arial" w:cs="Arial"/>
          <w:sz w:val="24"/>
          <w:szCs w:val="24"/>
        </w:rPr>
        <w:t>A este instrumento se le agregaron</w:t>
      </w:r>
      <w:r>
        <w:rPr>
          <w:rFonts w:ascii="Arial" w:hAnsi="Arial" w:cs="Arial"/>
          <w:sz w:val="24"/>
          <w:szCs w:val="24"/>
        </w:rPr>
        <w:t xml:space="preserve"> tres ítems </w:t>
      </w:r>
      <w:r w:rsidR="00E76F21">
        <w:rPr>
          <w:rFonts w:ascii="Arial" w:hAnsi="Arial" w:cs="Arial"/>
          <w:sz w:val="24"/>
          <w:szCs w:val="24"/>
        </w:rPr>
        <w:t xml:space="preserve">en el </w:t>
      </w:r>
      <w:proofErr w:type="spellStart"/>
      <w:r w:rsidR="00E76F21">
        <w:rPr>
          <w:rFonts w:ascii="Arial" w:hAnsi="Arial" w:cs="Arial"/>
          <w:sz w:val="24"/>
          <w:szCs w:val="24"/>
        </w:rPr>
        <w:t>background</w:t>
      </w:r>
      <w:proofErr w:type="spellEnd"/>
      <w:r w:rsidR="00E76F21">
        <w:rPr>
          <w:rFonts w:ascii="Arial" w:hAnsi="Arial" w:cs="Arial"/>
          <w:sz w:val="24"/>
          <w:szCs w:val="24"/>
        </w:rPr>
        <w:t xml:space="preserve"> que indaga</w:t>
      </w:r>
      <w:r>
        <w:rPr>
          <w:rFonts w:ascii="Arial" w:hAnsi="Arial" w:cs="Arial"/>
          <w:sz w:val="24"/>
          <w:szCs w:val="24"/>
        </w:rPr>
        <w:t xml:space="preserve">n las variables género, edad y </w:t>
      </w:r>
      <w:r w:rsidR="00AA6090">
        <w:rPr>
          <w:rFonts w:ascii="Arial" w:hAnsi="Arial" w:cs="Arial"/>
          <w:sz w:val="24"/>
          <w:szCs w:val="24"/>
        </w:rPr>
        <w:t xml:space="preserve">semestre que cursan; </w:t>
      </w:r>
      <w:r>
        <w:rPr>
          <w:rFonts w:ascii="Arial" w:hAnsi="Arial" w:cs="Arial"/>
          <w:sz w:val="24"/>
          <w:szCs w:val="24"/>
        </w:rPr>
        <w:t xml:space="preserve">en una primera sección, previa a la escala </w:t>
      </w:r>
      <w:r w:rsidR="00E76F21">
        <w:rPr>
          <w:rFonts w:ascii="Arial" w:hAnsi="Arial" w:cs="Arial"/>
          <w:sz w:val="24"/>
          <w:szCs w:val="24"/>
        </w:rPr>
        <w:t>unidimensional</w:t>
      </w:r>
      <w:r>
        <w:rPr>
          <w:rFonts w:ascii="Arial" w:hAnsi="Arial" w:cs="Arial"/>
          <w:sz w:val="24"/>
          <w:szCs w:val="24"/>
        </w:rPr>
        <w:t xml:space="preserve">, </w:t>
      </w:r>
      <w:r w:rsidR="00BB7CB2">
        <w:rPr>
          <w:rFonts w:ascii="Arial" w:hAnsi="Arial" w:cs="Arial"/>
          <w:sz w:val="24"/>
          <w:szCs w:val="24"/>
        </w:rPr>
        <w:t>se presentaron cinco ítems que indagan cinco</w:t>
      </w:r>
      <w:r w:rsidR="00E76F21">
        <w:rPr>
          <w:rFonts w:ascii="Arial" w:hAnsi="Arial" w:cs="Arial"/>
          <w:sz w:val="24"/>
          <w:szCs w:val="24"/>
        </w:rPr>
        <w:t xml:space="preserve"> indicadores cuantitativos de la red de apoyo social: </w:t>
      </w:r>
      <w:r w:rsidR="00E76F21" w:rsidRPr="00E76F21">
        <w:rPr>
          <w:rFonts w:ascii="Arial" w:hAnsi="Arial" w:cs="Arial"/>
          <w:sz w:val="24"/>
          <w:szCs w:val="24"/>
        </w:rPr>
        <w:t>Númer</w:t>
      </w:r>
      <w:r w:rsidR="00E76F21">
        <w:rPr>
          <w:rFonts w:ascii="Arial" w:hAnsi="Arial" w:cs="Arial"/>
          <w:sz w:val="24"/>
          <w:szCs w:val="24"/>
        </w:rPr>
        <w:t xml:space="preserve">o de integrantes en su familia, </w:t>
      </w:r>
      <w:r w:rsidR="00E76F21" w:rsidRPr="00E76F21">
        <w:rPr>
          <w:rFonts w:ascii="Arial" w:hAnsi="Arial" w:cs="Arial"/>
          <w:sz w:val="24"/>
          <w:szCs w:val="24"/>
        </w:rPr>
        <w:t>Número de amigos en la escuela</w:t>
      </w:r>
      <w:r w:rsidR="00E76F21">
        <w:rPr>
          <w:rFonts w:ascii="Arial" w:hAnsi="Arial" w:cs="Arial"/>
          <w:sz w:val="24"/>
          <w:szCs w:val="24"/>
        </w:rPr>
        <w:t xml:space="preserve">, </w:t>
      </w:r>
      <w:r w:rsidR="00E76F21" w:rsidRPr="00E76F21">
        <w:rPr>
          <w:rFonts w:ascii="Arial" w:hAnsi="Arial" w:cs="Arial"/>
          <w:sz w:val="24"/>
          <w:szCs w:val="24"/>
        </w:rPr>
        <w:t>Número de amigos fuera de la escuela</w:t>
      </w:r>
      <w:r w:rsidR="00E76F21">
        <w:rPr>
          <w:rFonts w:ascii="Arial" w:hAnsi="Arial" w:cs="Arial"/>
          <w:sz w:val="24"/>
          <w:szCs w:val="24"/>
        </w:rPr>
        <w:t>, Si t</w:t>
      </w:r>
      <w:r w:rsidR="00E76F21" w:rsidRPr="00E76F21">
        <w:rPr>
          <w:rFonts w:ascii="Arial" w:hAnsi="Arial" w:cs="Arial"/>
          <w:sz w:val="24"/>
          <w:szCs w:val="24"/>
        </w:rPr>
        <w:t>iene actualmente una relación de pareja estable</w:t>
      </w:r>
      <w:r w:rsidR="00BB7CB2">
        <w:rPr>
          <w:rFonts w:ascii="Arial" w:hAnsi="Arial" w:cs="Arial"/>
          <w:sz w:val="24"/>
          <w:szCs w:val="24"/>
        </w:rPr>
        <w:t xml:space="preserve"> y</w:t>
      </w:r>
      <w:r w:rsidR="00E76F21">
        <w:rPr>
          <w:rFonts w:ascii="Arial" w:hAnsi="Arial" w:cs="Arial"/>
          <w:sz w:val="24"/>
          <w:szCs w:val="24"/>
        </w:rPr>
        <w:t xml:space="preserve"> Si p</w:t>
      </w:r>
      <w:r w:rsidR="00E76F21" w:rsidRPr="00E76F21">
        <w:rPr>
          <w:rFonts w:ascii="Arial" w:hAnsi="Arial" w:cs="Arial"/>
          <w:sz w:val="24"/>
          <w:szCs w:val="24"/>
        </w:rPr>
        <w:t>ertenece a un club, grupo o asociación</w:t>
      </w:r>
      <w:r w:rsidR="00E76F21">
        <w:rPr>
          <w:rFonts w:ascii="Arial" w:hAnsi="Arial" w:cs="Arial"/>
          <w:sz w:val="24"/>
          <w:szCs w:val="24"/>
        </w:rPr>
        <w:t>.</w:t>
      </w:r>
    </w:p>
    <w:p w:rsidR="00E76F21" w:rsidRDefault="00E76F21" w:rsidP="004C2E42">
      <w:pPr>
        <w:spacing w:after="0" w:line="240" w:lineRule="auto"/>
        <w:rPr>
          <w:rFonts w:ascii="Arial" w:hAnsi="Arial" w:cs="Arial"/>
          <w:b/>
          <w:sz w:val="24"/>
          <w:szCs w:val="24"/>
        </w:rPr>
      </w:pPr>
    </w:p>
    <w:p w:rsidR="00DE5BDA" w:rsidRPr="00DE5BDA" w:rsidRDefault="00DE5BDA" w:rsidP="004C2E42">
      <w:pPr>
        <w:spacing w:after="0" w:line="240" w:lineRule="auto"/>
        <w:rPr>
          <w:rFonts w:ascii="Arial" w:hAnsi="Arial" w:cs="Arial"/>
          <w:b/>
          <w:sz w:val="24"/>
          <w:szCs w:val="24"/>
        </w:rPr>
      </w:pPr>
      <w:r w:rsidRPr="00DE5BDA">
        <w:rPr>
          <w:rFonts w:ascii="Arial" w:hAnsi="Arial" w:cs="Arial"/>
          <w:b/>
          <w:sz w:val="24"/>
          <w:szCs w:val="24"/>
        </w:rPr>
        <w:t>Procedimiento</w:t>
      </w:r>
    </w:p>
    <w:p w:rsidR="00C41418" w:rsidRDefault="00C41418" w:rsidP="00DB6EFA">
      <w:pPr>
        <w:spacing w:after="0" w:line="240" w:lineRule="auto"/>
        <w:rPr>
          <w:rFonts w:ascii="Arial" w:hAnsi="Arial" w:cs="Arial"/>
          <w:sz w:val="24"/>
          <w:szCs w:val="24"/>
        </w:rPr>
      </w:pPr>
    </w:p>
    <w:p w:rsidR="00444EA0" w:rsidRDefault="00BD75AA" w:rsidP="00DB6EFA">
      <w:pPr>
        <w:spacing w:after="0" w:line="240" w:lineRule="auto"/>
        <w:rPr>
          <w:rFonts w:ascii="Arial" w:hAnsi="Arial" w:cs="Arial"/>
          <w:sz w:val="24"/>
          <w:szCs w:val="24"/>
        </w:rPr>
      </w:pPr>
      <w:r>
        <w:rPr>
          <w:rFonts w:ascii="Arial" w:hAnsi="Arial" w:cs="Arial"/>
          <w:sz w:val="24"/>
          <w:szCs w:val="24"/>
        </w:rPr>
        <w:t xml:space="preserve">Se aplicó el instrumento durante la semana comprendida del </w:t>
      </w:r>
      <w:r w:rsidR="006966AD">
        <w:rPr>
          <w:rFonts w:ascii="Arial" w:hAnsi="Arial" w:cs="Arial"/>
          <w:sz w:val="24"/>
          <w:szCs w:val="24"/>
        </w:rPr>
        <w:t>26 al 30 de mayo</w:t>
      </w:r>
      <w:r>
        <w:rPr>
          <w:rFonts w:ascii="Arial" w:hAnsi="Arial" w:cs="Arial"/>
          <w:sz w:val="24"/>
          <w:szCs w:val="24"/>
        </w:rPr>
        <w:t xml:space="preserve"> del año 2014</w:t>
      </w:r>
      <w:r w:rsidR="00157525">
        <w:rPr>
          <w:rFonts w:ascii="Arial" w:hAnsi="Arial" w:cs="Arial"/>
          <w:sz w:val="24"/>
          <w:szCs w:val="24"/>
        </w:rPr>
        <w:t xml:space="preserve">. Para su aplicación se contó con el apoyo de tres alumnos de la misma licenciatura quienes se trasladaron a las diferentes aulas donde tomaban sus </w:t>
      </w:r>
      <w:r w:rsidR="00157525">
        <w:rPr>
          <w:rFonts w:ascii="Arial" w:hAnsi="Arial" w:cs="Arial"/>
          <w:sz w:val="24"/>
          <w:szCs w:val="24"/>
        </w:rPr>
        <w:lastRenderedPageBreak/>
        <w:t>estudios el resto de los alumnos y tras obtener la autorización del profesor presente se administraba el cuestionario de manera grupal.</w:t>
      </w:r>
    </w:p>
    <w:p w:rsidR="00157525" w:rsidRDefault="00157525" w:rsidP="00157525">
      <w:pPr>
        <w:spacing w:after="0" w:line="240" w:lineRule="auto"/>
        <w:rPr>
          <w:rFonts w:ascii="Arial" w:hAnsi="Arial" w:cs="Arial"/>
          <w:sz w:val="24"/>
          <w:szCs w:val="24"/>
        </w:rPr>
      </w:pPr>
      <w:r>
        <w:rPr>
          <w:rFonts w:ascii="Arial" w:hAnsi="Arial" w:cs="Arial"/>
          <w:sz w:val="24"/>
          <w:szCs w:val="24"/>
        </w:rPr>
        <w:tab/>
        <w:t>En el primer párrafo</w:t>
      </w:r>
      <w:r w:rsidR="006F6A43">
        <w:rPr>
          <w:rFonts w:ascii="Arial" w:hAnsi="Arial" w:cs="Arial"/>
          <w:sz w:val="24"/>
          <w:szCs w:val="24"/>
        </w:rPr>
        <w:t xml:space="preserve"> </w:t>
      </w:r>
      <w:r w:rsidRPr="00157525">
        <w:rPr>
          <w:rFonts w:ascii="Arial" w:hAnsi="Arial" w:cs="Arial"/>
          <w:sz w:val="24"/>
          <w:szCs w:val="24"/>
        </w:rPr>
        <w:t>del cuestionario</w:t>
      </w:r>
      <w:r>
        <w:rPr>
          <w:rFonts w:ascii="Arial" w:hAnsi="Arial" w:cs="Arial"/>
          <w:sz w:val="24"/>
          <w:szCs w:val="24"/>
        </w:rPr>
        <w:t>, posterior a la identificación institucional, se les daba a conocer el objetivo del estudio y la confidencialidad con que se trabaj</w:t>
      </w:r>
      <w:r w:rsidR="00AA6090">
        <w:rPr>
          <w:rFonts w:ascii="Arial" w:hAnsi="Arial" w:cs="Arial"/>
          <w:sz w:val="24"/>
          <w:szCs w:val="24"/>
        </w:rPr>
        <w:t>arían los resultados; también  se les informó</w:t>
      </w:r>
      <w:r>
        <w:rPr>
          <w:rFonts w:ascii="Arial" w:hAnsi="Arial" w:cs="Arial"/>
          <w:sz w:val="24"/>
          <w:szCs w:val="24"/>
        </w:rPr>
        <w:t xml:space="preserve"> que la respuesta del instrumento era voluntaria por lo que estaban en libertad de responderlo o no; con esta información se obtenía, de manera indirecta, su consentimiento informado. Aunado a estas acciones, y p</w:t>
      </w:r>
      <w:r w:rsidRPr="00157525">
        <w:rPr>
          <w:rFonts w:ascii="Arial" w:hAnsi="Arial" w:cs="Arial"/>
          <w:sz w:val="24"/>
          <w:szCs w:val="24"/>
        </w:rPr>
        <w:t xml:space="preserve">ara </w:t>
      </w:r>
      <w:r w:rsidR="00AA6090">
        <w:rPr>
          <w:rFonts w:ascii="Arial" w:hAnsi="Arial" w:cs="Arial"/>
          <w:sz w:val="24"/>
          <w:szCs w:val="24"/>
        </w:rPr>
        <w:t xml:space="preserve">asegurar la total </w:t>
      </w:r>
      <w:r w:rsidRPr="00157525">
        <w:rPr>
          <w:rFonts w:ascii="Arial" w:hAnsi="Arial" w:cs="Arial"/>
          <w:sz w:val="24"/>
          <w:szCs w:val="24"/>
        </w:rPr>
        <w:t>protección de los participantes</w:t>
      </w:r>
      <w:r>
        <w:rPr>
          <w:rFonts w:ascii="Arial" w:hAnsi="Arial" w:cs="Arial"/>
          <w:sz w:val="24"/>
          <w:szCs w:val="24"/>
        </w:rPr>
        <w:t xml:space="preserve">, </w:t>
      </w:r>
      <w:r w:rsidRPr="00157525">
        <w:rPr>
          <w:rFonts w:ascii="Arial" w:hAnsi="Arial" w:cs="Arial"/>
          <w:sz w:val="24"/>
          <w:szCs w:val="24"/>
        </w:rPr>
        <w:t>en el cu</w:t>
      </w:r>
      <w:r>
        <w:rPr>
          <w:rFonts w:ascii="Arial" w:hAnsi="Arial" w:cs="Arial"/>
          <w:sz w:val="24"/>
          <w:szCs w:val="24"/>
        </w:rPr>
        <w:t xml:space="preserve">estionario a llenar no se </w:t>
      </w:r>
      <w:r w:rsidR="00993AE3">
        <w:rPr>
          <w:rFonts w:ascii="Arial" w:hAnsi="Arial" w:cs="Arial"/>
          <w:sz w:val="24"/>
          <w:szCs w:val="24"/>
        </w:rPr>
        <w:t xml:space="preserve">les </w:t>
      </w:r>
      <w:r>
        <w:rPr>
          <w:rFonts w:ascii="Arial" w:hAnsi="Arial" w:cs="Arial"/>
          <w:sz w:val="24"/>
          <w:szCs w:val="24"/>
        </w:rPr>
        <w:t xml:space="preserve">pidió </w:t>
      </w:r>
      <w:r w:rsidRPr="00157525">
        <w:rPr>
          <w:rFonts w:ascii="Arial" w:hAnsi="Arial" w:cs="Arial"/>
          <w:sz w:val="24"/>
          <w:szCs w:val="24"/>
        </w:rPr>
        <w:t xml:space="preserve">el nombre, </w:t>
      </w:r>
    </w:p>
    <w:p w:rsidR="00444EA0" w:rsidRPr="00AA6090" w:rsidRDefault="00157525" w:rsidP="00AA6090">
      <w:pPr>
        <w:spacing w:after="0" w:line="240" w:lineRule="auto"/>
        <w:rPr>
          <w:rFonts w:ascii="Arial" w:hAnsi="Arial" w:cs="Arial"/>
          <w:sz w:val="24"/>
          <w:szCs w:val="24"/>
        </w:rPr>
      </w:pPr>
      <w:r>
        <w:rPr>
          <w:rFonts w:ascii="Arial" w:hAnsi="Arial" w:cs="Arial"/>
          <w:sz w:val="24"/>
          <w:szCs w:val="24"/>
        </w:rPr>
        <w:tab/>
        <w:t>Una vez aplicado se capturaron los cuestionarios respondido</w:t>
      </w:r>
      <w:r w:rsidR="00AA6090">
        <w:rPr>
          <w:rFonts w:ascii="Arial" w:hAnsi="Arial" w:cs="Arial"/>
          <w:sz w:val="24"/>
          <w:szCs w:val="24"/>
        </w:rPr>
        <w:t>s</w:t>
      </w:r>
      <w:r>
        <w:rPr>
          <w:rFonts w:ascii="Arial" w:hAnsi="Arial" w:cs="Arial"/>
          <w:sz w:val="24"/>
          <w:szCs w:val="24"/>
        </w:rPr>
        <w:t xml:space="preserve"> en el programa PASW</w:t>
      </w:r>
      <w:r w:rsidR="006F6A43">
        <w:rPr>
          <w:rFonts w:ascii="Arial" w:hAnsi="Arial" w:cs="Arial"/>
          <w:sz w:val="24"/>
          <w:szCs w:val="24"/>
        </w:rPr>
        <w:t xml:space="preserve">. </w:t>
      </w:r>
      <w:r w:rsidR="00B764F4" w:rsidRPr="00AA6090">
        <w:rPr>
          <w:rFonts w:ascii="Arial" w:hAnsi="Arial" w:cs="Arial"/>
          <w:sz w:val="24"/>
          <w:szCs w:val="24"/>
        </w:rPr>
        <w:t>El análisis de resultados se realizó en dos momentos: en un primermomento se realizó el análisis descriptivo a través de la media aritméticay en un segundo momento se realizó el análisis correlacional a través delo</w:t>
      </w:r>
      <w:r w:rsidR="0074624D">
        <w:rPr>
          <w:rFonts w:ascii="Arial" w:hAnsi="Arial" w:cs="Arial"/>
          <w:sz w:val="24"/>
          <w:szCs w:val="24"/>
        </w:rPr>
        <w:t xml:space="preserve">s estadísticos t de </w:t>
      </w:r>
      <w:proofErr w:type="spellStart"/>
      <w:r w:rsidR="0074624D">
        <w:rPr>
          <w:rFonts w:ascii="Arial" w:hAnsi="Arial" w:cs="Arial"/>
          <w:sz w:val="24"/>
          <w:szCs w:val="24"/>
        </w:rPr>
        <w:t>Student</w:t>
      </w:r>
      <w:proofErr w:type="spellEnd"/>
      <w:r w:rsidR="0074624D">
        <w:rPr>
          <w:rFonts w:ascii="Arial" w:hAnsi="Arial" w:cs="Arial"/>
          <w:sz w:val="24"/>
          <w:szCs w:val="24"/>
        </w:rPr>
        <w:t xml:space="preserve"> y </w:t>
      </w:r>
      <w:r w:rsidR="00B764F4" w:rsidRPr="00AA6090">
        <w:rPr>
          <w:rFonts w:ascii="Arial" w:hAnsi="Arial" w:cs="Arial"/>
          <w:sz w:val="24"/>
          <w:szCs w:val="24"/>
        </w:rPr>
        <w:t xml:space="preserve"> r de Pearson según correspondiera (en</w:t>
      </w:r>
      <w:r w:rsidR="006F6A43">
        <w:rPr>
          <w:rFonts w:ascii="Arial" w:hAnsi="Arial" w:cs="Arial"/>
          <w:sz w:val="24"/>
          <w:szCs w:val="24"/>
        </w:rPr>
        <w:t xml:space="preserve"> </w:t>
      </w:r>
      <w:r w:rsidR="00B764F4" w:rsidRPr="00AA6090">
        <w:rPr>
          <w:rFonts w:ascii="Arial" w:hAnsi="Arial" w:cs="Arial"/>
          <w:sz w:val="24"/>
          <w:szCs w:val="24"/>
        </w:rPr>
        <w:t xml:space="preserve">ambos casos la regla de decisión fue p&lt; .05). </w:t>
      </w:r>
    </w:p>
    <w:p w:rsidR="00B764F4" w:rsidRDefault="00B764F4" w:rsidP="00DB6EFA">
      <w:pPr>
        <w:spacing w:after="0" w:line="240" w:lineRule="auto"/>
        <w:rPr>
          <w:rFonts w:ascii="Arial" w:hAnsi="Arial" w:cs="Arial"/>
          <w:b/>
          <w:sz w:val="24"/>
          <w:szCs w:val="24"/>
        </w:rPr>
      </w:pPr>
    </w:p>
    <w:p w:rsidR="00AA6090" w:rsidRDefault="00AA6090" w:rsidP="00DB6EFA">
      <w:pPr>
        <w:spacing w:after="0" w:line="240" w:lineRule="auto"/>
        <w:rPr>
          <w:rFonts w:ascii="Arial" w:hAnsi="Arial" w:cs="Arial"/>
          <w:b/>
          <w:sz w:val="24"/>
          <w:szCs w:val="24"/>
        </w:rPr>
      </w:pPr>
      <w:r>
        <w:rPr>
          <w:rFonts w:ascii="Arial" w:hAnsi="Arial" w:cs="Arial"/>
          <w:b/>
          <w:sz w:val="24"/>
          <w:szCs w:val="24"/>
        </w:rPr>
        <w:t>Resultados</w:t>
      </w:r>
    </w:p>
    <w:p w:rsidR="00AA6090" w:rsidRDefault="00AA6090" w:rsidP="00DB6EFA">
      <w:pPr>
        <w:spacing w:after="0" w:line="240" w:lineRule="auto"/>
        <w:rPr>
          <w:rFonts w:ascii="Arial" w:hAnsi="Arial" w:cs="Arial"/>
          <w:b/>
          <w:sz w:val="24"/>
          <w:szCs w:val="24"/>
        </w:rPr>
      </w:pPr>
    </w:p>
    <w:p w:rsidR="0074624D" w:rsidRPr="0074624D" w:rsidRDefault="0074624D" w:rsidP="00DB6EFA">
      <w:pPr>
        <w:spacing w:after="0" w:line="240" w:lineRule="auto"/>
        <w:rPr>
          <w:rFonts w:ascii="Arial" w:hAnsi="Arial" w:cs="Arial"/>
          <w:b/>
          <w:sz w:val="24"/>
          <w:szCs w:val="24"/>
        </w:rPr>
      </w:pPr>
      <w:r>
        <w:rPr>
          <w:rFonts w:ascii="Arial" w:hAnsi="Arial" w:cs="Arial"/>
          <w:sz w:val="24"/>
          <w:szCs w:val="24"/>
        </w:rPr>
        <w:tab/>
      </w:r>
      <w:r w:rsidRPr="0074624D">
        <w:rPr>
          <w:rFonts w:ascii="Arial" w:hAnsi="Arial" w:cs="Arial"/>
          <w:b/>
          <w:sz w:val="24"/>
          <w:szCs w:val="24"/>
        </w:rPr>
        <w:t>Análisis descriptivo</w:t>
      </w:r>
    </w:p>
    <w:p w:rsidR="0074624D" w:rsidRDefault="0074624D" w:rsidP="00DB6EFA">
      <w:pPr>
        <w:spacing w:after="0" w:line="240" w:lineRule="auto"/>
        <w:rPr>
          <w:rFonts w:ascii="Arial" w:hAnsi="Arial" w:cs="Arial"/>
          <w:sz w:val="24"/>
          <w:szCs w:val="24"/>
        </w:rPr>
      </w:pPr>
    </w:p>
    <w:p w:rsidR="00AA6090" w:rsidRDefault="00AA6090" w:rsidP="00DB6EFA">
      <w:pPr>
        <w:spacing w:after="0" w:line="240" w:lineRule="auto"/>
        <w:rPr>
          <w:rFonts w:ascii="Arial" w:hAnsi="Arial" w:cs="Arial"/>
          <w:b/>
          <w:sz w:val="24"/>
          <w:szCs w:val="24"/>
        </w:rPr>
      </w:pPr>
      <w:r w:rsidRPr="00AA6090">
        <w:rPr>
          <w:rFonts w:ascii="Arial" w:hAnsi="Arial" w:cs="Arial"/>
          <w:sz w:val="24"/>
          <w:szCs w:val="24"/>
        </w:rPr>
        <w:t>Los resultados obtenidos en los ítems que conforman la Escala Unidimensional del Burnout Estudiantil se</w:t>
      </w:r>
      <w:r>
        <w:rPr>
          <w:rFonts w:ascii="Arial" w:hAnsi="Arial" w:cs="Arial"/>
          <w:sz w:val="24"/>
          <w:szCs w:val="24"/>
        </w:rPr>
        <w:t xml:space="preserve"> presentan en</w:t>
      </w:r>
      <w:r w:rsidR="000C4278">
        <w:rPr>
          <w:rFonts w:ascii="Arial" w:hAnsi="Arial" w:cs="Arial"/>
          <w:sz w:val="24"/>
          <w:szCs w:val="24"/>
        </w:rPr>
        <w:t xml:space="preserve"> la tabla 1. Las conductas del burnout que se presentan con mayor frecuencia son: </w:t>
      </w:r>
      <w:r w:rsidR="000C4278" w:rsidRPr="000C4278">
        <w:rPr>
          <w:rFonts w:ascii="Arial" w:hAnsi="Arial" w:cs="Arial"/>
          <w:sz w:val="24"/>
          <w:szCs w:val="24"/>
        </w:rPr>
        <w:t>Durante las clases me siento somnoliento</w:t>
      </w:r>
      <w:r w:rsidR="000C4278">
        <w:rPr>
          <w:rFonts w:ascii="Arial" w:hAnsi="Arial" w:cs="Arial"/>
          <w:sz w:val="24"/>
          <w:szCs w:val="24"/>
        </w:rPr>
        <w:t xml:space="preserve">, </w:t>
      </w:r>
      <w:r w:rsidR="000C4278" w:rsidRPr="000C4278">
        <w:rPr>
          <w:rFonts w:ascii="Arial" w:hAnsi="Arial" w:cs="Arial"/>
          <w:sz w:val="24"/>
          <w:szCs w:val="24"/>
        </w:rPr>
        <w:t>Antes de terminar las clases ya me siento cansado</w:t>
      </w:r>
      <w:r w:rsidR="000C4278">
        <w:rPr>
          <w:rFonts w:ascii="Arial" w:hAnsi="Arial" w:cs="Arial"/>
          <w:sz w:val="24"/>
          <w:szCs w:val="24"/>
        </w:rPr>
        <w:t xml:space="preserve"> y  </w:t>
      </w:r>
      <w:r w:rsidR="000C4278" w:rsidRPr="000C4278">
        <w:rPr>
          <w:rFonts w:ascii="Arial" w:hAnsi="Arial" w:cs="Arial"/>
          <w:sz w:val="24"/>
          <w:szCs w:val="24"/>
        </w:rPr>
        <w:t>Cada vez me cuesta más trabajo ponerle atención al maestro</w:t>
      </w:r>
      <w:r w:rsidR="006F6A43">
        <w:rPr>
          <w:rFonts w:ascii="Arial" w:hAnsi="Arial" w:cs="Arial"/>
          <w:sz w:val="24"/>
          <w:szCs w:val="24"/>
        </w:rPr>
        <w:t>.</w:t>
      </w:r>
    </w:p>
    <w:p w:rsidR="00AA6090" w:rsidRDefault="00AA6090" w:rsidP="00DB6EFA">
      <w:pPr>
        <w:spacing w:after="0" w:line="240" w:lineRule="auto"/>
        <w:rPr>
          <w:rFonts w:ascii="Arial" w:hAnsi="Arial" w:cs="Arial"/>
          <w:b/>
          <w:sz w:val="24"/>
          <w:szCs w:val="24"/>
        </w:rPr>
      </w:pPr>
    </w:p>
    <w:p w:rsidR="00AA6090" w:rsidRPr="00D8768F" w:rsidRDefault="00D8768F" w:rsidP="00DB6EFA">
      <w:pPr>
        <w:spacing w:after="0" w:line="240" w:lineRule="auto"/>
        <w:rPr>
          <w:rFonts w:ascii="Arial" w:hAnsi="Arial" w:cs="Arial"/>
          <w:sz w:val="24"/>
          <w:szCs w:val="24"/>
        </w:rPr>
      </w:pPr>
      <w:r w:rsidRPr="00D8768F">
        <w:rPr>
          <w:rFonts w:ascii="Arial" w:hAnsi="Arial" w:cs="Arial"/>
          <w:sz w:val="24"/>
          <w:szCs w:val="24"/>
        </w:rPr>
        <w:t>Tabla 1.</w:t>
      </w:r>
    </w:p>
    <w:p w:rsidR="00D8768F" w:rsidRPr="00D8768F" w:rsidRDefault="00D8768F" w:rsidP="00DB6EFA">
      <w:pPr>
        <w:spacing w:after="0" w:line="240" w:lineRule="auto"/>
        <w:rPr>
          <w:rFonts w:ascii="Arial" w:hAnsi="Arial" w:cs="Arial"/>
          <w:i/>
          <w:sz w:val="24"/>
          <w:szCs w:val="24"/>
        </w:rPr>
      </w:pPr>
      <w:r w:rsidRPr="00D8768F">
        <w:rPr>
          <w:rFonts w:ascii="Arial" w:hAnsi="Arial" w:cs="Arial"/>
          <w:i/>
          <w:sz w:val="24"/>
          <w:szCs w:val="24"/>
        </w:rPr>
        <w:t>Resultados descriptivos de los ítems de la EUBE</w:t>
      </w:r>
    </w:p>
    <w:tbl>
      <w:tblPr>
        <w:tblW w:w="3549" w:type="dxa"/>
        <w:tblLayout w:type="fixed"/>
        <w:tblCellMar>
          <w:left w:w="0" w:type="dxa"/>
          <w:right w:w="0" w:type="dxa"/>
        </w:tblCellMar>
        <w:tblLook w:val="0000" w:firstRow="0" w:lastRow="0" w:firstColumn="0" w:lastColumn="0" w:noHBand="0" w:noVBand="0"/>
      </w:tblPr>
      <w:tblGrid>
        <w:gridCol w:w="1281"/>
        <w:gridCol w:w="1134"/>
        <w:gridCol w:w="1134"/>
      </w:tblGrid>
      <w:tr w:rsidR="000C4278" w:rsidRPr="00D8768F" w:rsidTr="006F52E2">
        <w:trPr>
          <w:cantSplit/>
          <w:trHeight w:val="149"/>
          <w:tblHeader/>
        </w:trPr>
        <w:tc>
          <w:tcPr>
            <w:tcW w:w="1281" w:type="dxa"/>
            <w:tcBorders>
              <w:top w:val="single" w:sz="4" w:space="0" w:color="auto"/>
              <w:bottom w:val="single" w:sz="4" w:space="0" w:color="auto"/>
            </w:tcBorders>
            <w:shd w:val="clear" w:color="auto" w:fill="FFFFFF"/>
          </w:tcPr>
          <w:p w:rsidR="000C4278" w:rsidRPr="00D8768F" w:rsidRDefault="000C4278" w:rsidP="00EC4114">
            <w:pPr>
              <w:widowControl w:val="0"/>
              <w:spacing w:after="0" w:line="240" w:lineRule="auto"/>
              <w:jc w:val="center"/>
              <w:rPr>
                <w:rFonts w:ascii="Arial" w:hAnsi="Arial" w:cs="Arial"/>
                <w:b/>
                <w:sz w:val="20"/>
                <w:szCs w:val="20"/>
              </w:rPr>
            </w:pPr>
            <w:r w:rsidRPr="00D8768F">
              <w:rPr>
                <w:rFonts w:ascii="Arial" w:hAnsi="Arial" w:cs="Arial"/>
                <w:b/>
                <w:sz w:val="20"/>
                <w:szCs w:val="20"/>
              </w:rPr>
              <w:t>Ítems</w:t>
            </w:r>
          </w:p>
        </w:tc>
        <w:tc>
          <w:tcPr>
            <w:tcW w:w="1134" w:type="dxa"/>
            <w:tcBorders>
              <w:top w:val="single" w:sz="4" w:space="0" w:color="auto"/>
              <w:bottom w:val="single" w:sz="4" w:space="0" w:color="auto"/>
            </w:tcBorders>
            <w:shd w:val="clear" w:color="auto" w:fill="FFFFFF"/>
            <w:vAlign w:val="bottom"/>
          </w:tcPr>
          <w:p w:rsidR="000C4278" w:rsidRPr="00AA6090" w:rsidRDefault="000C4278" w:rsidP="00EC4114">
            <w:pPr>
              <w:autoSpaceDE w:val="0"/>
              <w:autoSpaceDN w:val="0"/>
              <w:adjustRightInd w:val="0"/>
              <w:spacing w:after="0" w:line="240" w:lineRule="auto"/>
              <w:ind w:left="60" w:right="60"/>
              <w:jc w:val="center"/>
              <w:rPr>
                <w:rFonts w:ascii="Arial" w:hAnsi="Arial" w:cs="Arial"/>
                <w:b/>
                <w:color w:val="000000"/>
                <w:sz w:val="20"/>
                <w:szCs w:val="20"/>
              </w:rPr>
            </w:pPr>
            <w:r w:rsidRPr="00AA6090">
              <w:rPr>
                <w:rFonts w:ascii="Arial" w:hAnsi="Arial" w:cs="Arial"/>
                <w:b/>
                <w:color w:val="000000"/>
                <w:sz w:val="20"/>
                <w:szCs w:val="20"/>
              </w:rPr>
              <w:t>Media</w:t>
            </w:r>
          </w:p>
        </w:tc>
        <w:tc>
          <w:tcPr>
            <w:tcW w:w="1134" w:type="dxa"/>
            <w:tcBorders>
              <w:top w:val="single" w:sz="4" w:space="0" w:color="auto"/>
              <w:bottom w:val="single" w:sz="4" w:space="0" w:color="auto"/>
            </w:tcBorders>
            <w:shd w:val="clear" w:color="auto" w:fill="FFFFFF"/>
            <w:vAlign w:val="bottom"/>
          </w:tcPr>
          <w:p w:rsidR="000C4278" w:rsidRPr="00AA6090" w:rsidRDefault="000C4278" w:rsidP="00EC4114">
            <w:pPr>
              <w:autoSpaceDE w:val="0"/>
              <w:autoSpaceDN w:val="0"/>
              <w:adjustRightInd w:val="0"/>
              <w:spacing w:after="0" w:line="240" w:lineRule="auto"/>
              <w:ind w:left="60" w:right="60"/>
              <w:jc w:val="center"/>
              <w:rPr>
                <w:rFonts w:ascii="Arial" w:hAnsi="Arial" w:cs="Arial"/>
                <w:b/>
                <w:color w:val="000000"/>
                <w:sz w:val="20"/>
                <w:szCs w:val="20"/>
              </w:rPr>
            </w:pPr>
            <w:proofErr w:type="spellStart"/>
            <w:r w:rsidRPr="00AA6090">
              <w:rPr>
                <w:rFonts w:ascii="Arial" w:hAnsi="Arial" w:cs="Arial"/>
                <w:b/>
                <w:color w:val="000000"/>
                <w:sz w:val="20"/>
                <w:szCs w:val="20"/>
              </w:rPr>
              <w:t>Desv</w:t>
            </w:r>
            <w:proofErr w:type="spellEnd"/>
            <w:r w:rsidRPr="00AA6090">
              <w:rPr>
                <w:rFonts w:ascii="Arial" w:hAnsi="Arial" w:cs="Arial"/>
                <w:b/>
                <w:color w:val="000000"/>
                <w:sz w:val="20"/>
                <w:szCs w:val="20"/>
              </w:rPr>
              <w:t xml:space="preserve">. </w:t>
            </w:r>
            <w:proofErr w:type="spellStart"/>
            <w:proofErr w:type="gramStart"/>
            <w:r w:rsidRPr="00AA6090">
              <w:rPr>
                <w:rFonts w:ascii="Arial" w:hAnsi="Arial" w:cs="Arial"/>
                <w:b/>
                <w:color w:val="000000"/>
                <w:sz w:val="20"/>
                <w:szCs w:val="20"/>
              </w:rPr>
              <w:t>típ</w:t>
            </w:r>
            <w:proofErr w:type="spellEnd"/>
            <w:proofErr w:type="gramEnd"/>
            <w:r w:rsidRPr="00AA6090">
              <w:rPr>
                <w:rFonts w:ascii="Arial" w:hAnsi="Arial" w:cs="Arial"/>
                <w:b/>
                <w:color w:val="000000"/>
                <w:sz w:val="20"/>
                <w:szCs w:val="20"/>
              </w:rPr>
              <w:t>.</w:t>
            </w:r>
          </w:p>
        </w:tc>
      </w:tr>
      <w:tr w:rsidR="000C4278" w:rsidRPr="00D8768F" w:rsidTr="006F52E2">
        <w:trPr>
          <w:cantSplit/>
          <w:tblHeader/>
        </w:trPr>
        <w:tc>
          <w:tcPr>
            <w:tcW w:w="1281" w:type="dxa"/>
            <w:tcBorders>
              <w:top w:val="single" w:sz="4" w:space="0" w:color="auto"/>
            </w:tcBorders>
            <w:shd w:val="clear" w:color="auto" w:fill="FFFFFF"/>
          </w:tcPr>
          <w:p w:rsidR="000C4278" w:rsidRPr="00D8768F" w:rsidRDefault="000C4278" w:rsidP="00EC4114">
            <w:pPr>
              <w:widowControl w:val="0"/>
              <w:numPr>
                <w:ilvl w:val="0"/>
                <w:numId w:val="2"/>
              </w:numPr>
              <w:spacing w:after="0" w:line="240" w:lineRule="auto"/>
              <w:rPr>
                <w:rFonts w:ascii="Arial" w:hAnsi="Arial" w:cs="Arial"/>
                <w:sz w:val="20"/>
                <w:szCs w:val="20"/>
              </w:rPr>
            </w:pPr>
          </w:p>
        </w:tc>
        <w:tc>
          <w:tcPr>
            <w:tcW w:w="1134" w:type="dxa"/>
            <w:tcBorders>
              <w:top w:val="single" w:sz="4" w:space="0" w:color="auto"/>
            </w:tcBorders>
            <w:shd w:val="clear" w:color="auto" w:fill="FFFFFF"/>
          </w:tcPr>
          <w:p w:rsidR="000C4278" w:rsidRPr="00AA6090" w:rsidRDefault="000C4278" w:rsidP="00EC4114">
            <w:pPr>
              <w:autoSpaceDE w:val="0"/>
              <w:autoSpaceDN w:val="0"/>
              <w:adjustRightInd w:val="0"/>
              <w:spacing w:after="0" w:line="240" w:lineRule="auto"/>
              <w:ind w:left="60" w:right="60"/>
              <w:jc w:val="center"/>
              <w:rPr>
                <w:rFonts w:ascii="Arial" w:hAnsi="Arial" w:cs="Arial"/>
                <w:color w:val="000000"/>
                <w:sz w:val="20"/>
                <w:szCs w:val="20"/>
              </w:rPr>
            </w:pPr>
            <w:r w:rsidRPr="00AA6090">
              <w:rPr>
                <w:rFonts w:ascii="Arial" w:hAnsi="Arial" w:cs="Arial"/>
                <w:color w:val="000000"/>
                <w:sz w:val="20"/>
                <w:szCs w:val="20"/>
              </w:rPr>
              <w:t>.72</w:t>
            </w:r>
          </w:p>
        </w:tc>
        <w:tc>
          <w:tcPr>
            <w:tcW w:w="1134" w:type="dxa"/>
            <w:tcBorders>
              <w:top w:val="single" w:sz="4" w:space="0" w:color="auto"/>
            </w:tcBorders>
            <w:shd w:val="clear" w:color="auto" w:fill="FFFFFF"/>
          </w:tcPr>
          <w:p w:rsidR="000C4278" w:rsidRPr="00AA6090" w:rsidRDefault="000C4278" w:rsidP="00EC4114">
            <w:pPr>
              <w:autoSpaceDE w:val="0"/>
              <w:autoSpaceDN w:val="0"/>
              <w:adjustRightInd w:val="0"/>
              <w:spacing w:after="0" w:line="240" w:lineRule="auto"/>
              <w:ind w:left="60" w:right="60"/>
              <w:jc w:val="center"/>
              <w:rPr>
                <w:rFonts w:ascii="Arial" w:hAnsi="Arial" w:cs="Arial"/>
                <w:color w:val="000000"/>
                <w:sz w:val="20"/>
                <w:szCs w:val="20"/>
              </w:rPr>
            </w:pPr>
            <w:r w:rsidRPr="00AA6090">
              <w:rPr>
                <w:rFonts w:ascii="Arial" w:hAnsi="Arial" w:cs="Arial"/>
                <w:color w:val="000000"/>
                <w:sz w:val="20"/>
                <w:szCs w:val="20"/>
              </w:rPr>
              <w:t>.674</w:t>
            </w:r>
          </w:p>
        </w:tc>
      </w:tr>
      <w:tr w:rsidR="000C4278" w:rsidRPr="00D8768F" w:rsidTr="006F52E2">
        <w:trPr>
          <w:cantSplit/>
          <w:tblHeader/>
        </w:trPr>
        <w:tc>
          <w:tcPr>
            <w:tcW w:w="1281" w:type="dxa"/>
            <w:shd w:val="clear" w:color="auto" w:fill="FFFFFF"/>
          </w:tcPr>
          <w:p w:rsidR="000C4278" w:rsidRPr="00D8768F" w:rsidRDefault="000C4278" w:rsidP="00EC4114">
            <w:pPr>
              <w:widowControl w:val="0"/>
              <w:numPr>
                <w:ilvl w:val="0"/>
                <w:numId w:val="2"/>
              </w:numPr>
              <w:spacing w:after="0" w:line="240" w:lineRule="auto"/>
              <w:rPr>
                <w:rFonts w:ascii="Arial" w:hAnsi="Arial" w:cs="Arial"/>
                <w:sz w:val="20"/>
                <w:szCs w:val="20"/>
              </w:rPr>
            </w:pPr>
          </w:p>
        </w:tc>
        <w:tc>
          <w:tcPr>
            <w:tcW w:w="1134" w:type="dxa"/>
            <w:shd w:val="clear" w:color="auto" w:fill="FFFFFF"/>
          </w:tcPr>
          <w:p w:rsidR="000C4278" w:rsidRPr="00AA6090" w:rsidRDefault="000C4278" w:rsidP="00EC4114">
            <w:pPr>
              <w:autoSpaceDE w:val="0"/>
              <w:autoSpaceDN w:val="0"/>
              <w:adjustRightInd w:val="0"/>
              <w:spacing w:after="0" w:line="240" w:lineRule="auto"/>
              <w:ind w:left="60" w:right="60"/>
              <w:jc w:val="center"/>
              <w:rPr>
                <w:rFonts w:ascii="Arial" w:hAnsi="Arial" w:cs="Arial"/>
                <w:color w:val="000000"/>
                <w:sz w:val="20"/>
                <w:szCs w:val="20"/>
              </w:rPr>
            </w:pPr>
            <w:r w:rsidRPr="00AA6090">
              <w:rPr>
                <w:rFonts w:ascii="Arial" w:hAnsi="Arial" w:cs="Arial"/>
                <w:color w:val="000000"/>
                <w:sz w:val="20"/>
                <w:szCs w:val="20"/>
              </w:rPr>
              <w:t>.79</w:t>
            </w:r>
          </w:p>
        </w:tc>
        <w:tc>
          <w:tcPr>
            <w:tcW w:w="1134" w:type="dxa"/>
            <w:shd w:val="clear" w:color="auto" w:fill="FFFFFF"/>
          </w:tcPr>
          <w:p w:rsidR="000C4278" w:rsidRPr="00AA6090" w:rsidRDefault="000C4278" w:rsidP="00EC4114">
            <w:pPr>
              <w:autoSpaceDE w:val="0"/>
              <w:autoSpaceDN w:val="0"/>
              <w:adjustRightInd w:val="0"/>
              <w:spacing w:after="0" w:line="240" w:lineRule="auto"/>
              <w:ind w:left="60" w:right="60"/>
              <w:jc w:val="center"/>
              <w:rPr>
                <w:rFonts w:ascii="Arial" w:hAnsi="Arial" w:cs="Arial"/>
                <w:color w:val="000000"/>
                <w:sz w:val="20"/>
                <w:szCs w:val="20"/>
              </w:rPr>
            </w:pPr>
            <w:r w:rsidRPr="00AA6090">
              <w:rPr>
                <w:rFonts w:ascii="Arial" w:hAnsi="Arial" w:cs="Arial"/>
                <w:color w:val="000000"/>
                <w:sz w:val="20"/>
                <w:szCs w:val="20"/>
              </w:rPr>
              <w:t>.754</w:t>
            </w:r>
          </w:p>
        </w:tc>
      </w:tr>
      <w:tr w:rsidR="000C4278" w:rsidRPr="00D8768F" w:rsidTr="006F52E2">
        <w:trPr>
          <w:cantSplit/>
          <w:tblHeader/>
        </w:trPr>
        <w:tc>
          <w:tcPr>
            <w:tcW w:w="1281" w:type="dxa"/>
            <w:shd w:val="clear" w:color="auto" w:fill="FFFFFF"/>
          </w:tcPr>
          <w:p w:rsidR="000C4278" w:rsidRPr="00D8768F" w:rsidRDefault="000C4278" w:rsidP="00EC4114">
            <w:pPr>
              <w:widowControl w:val="0"/>
              <w:numPr>
                <w:ilvl w:val="0"/>
                <w:numId w:val="2"/>
              </w:numPr>
              <w:spacing w:after="0" w:line="240" w:lineRule="auto"/>
              <w:rPr>
                <w:rFonts w:ascii="Arial" w:hAnsi="Arial" w:cs="Arial"/>
                <w:b/>
                <w:sz w:val="20"/>
                <w:szCs w:val="20"/>
              </w:rPr>
            </w:pPr>
          </w:p>
        </w:tc>
        <w:tc>
          <w:tcPr>
            <w:tcW w:w="1134" w:type="dxa"/>
            <w:shd w:val="clear" w:color="auto" w:fill="FFFFFF"/>
          </w:tcPr>
          <w:p w:rsidR="000C4278" w:rsidRPr="00AA6090" w:rsidRDefault="000C4278" w:rsidP="00EC4114">
            <w:pPr>
              <w:autoSpaceDE w:val="0"/>
              <w:autoSpaceDN w:val="0"/>
              <w:adjustRightInd w:val="0"/>
              <w:spacing w:after="0" w:line="240" w:lineRule="auto"/>
              <w:ind w:left="60" w:right="60"/>
              <w:jc w:val="center"/>
              <w:rPr>
                <w:rFonts w:ascii="Arial" w:hAnsi="Arial" w:cs="Arial"/>
                <w:b/>
                <w:color w:val="000000"/>
                <w:sz w:val="20"/>
                <w:szCs w:val="20"/>
              </w:rPr>
            </w:pPr>
            <w:r w:rsidRPr="00AA6090">
              <w:rPr>
                <w:rFonts w:ascii="Arial" w:hAnsi="Arial" w:cs="Arial"/>
                <w:b/>
                <w:color w:val="000000"/>
                <w:sz w:val="20"/>
                <w:szCs w:val="20"/>
              </w:rPr>
              <w:t>.90</w:t>
            </w:r>
          </w:p>
        </w:tc>
        <w:tc>
          <w:tcPr>
            <w:tcW w:w="1134" w:type="dxa"/>
            <w:shd w:val="clear" w:color="auto" w:fill="FFFFFF"/>
          </w:tcPr>
          <w:p w:rsidR="000C4278" w:rsidRPr="00AA6090" w:rsidRDefault="000C4278" w:rsidP="00EC4114">
            <w:pPr>
              <w:autoSpaceDE w:val="0"/>
              <w:autoSpaceDN w:val="0"/>
              <w:adjustRightInd w:val="0"/>
              <w:spacing w:after="0" w:line="240" w:lineRule="auto"/>
              <w:ind w:left="60" w:right="60"/>
              <w:jc w:val="center"/>
              <w:rPr>
                <w:rFonts w:ascii="Arial" w:hAnsi="Arial" w:cs="Arial"/>
                <w:b/>
                <w:color w:val="000000"/>
                <w:sz w:val="20"/>
                <w:szCs w:val="20"/>
              </w:rPr>
            </w:pPr>
            <w:r w:rsidRPr="00AA6090">
              <w:rPr>
                <w:rFonts w:ascii="Arial" w:hAnsi="Arial" w:cs="Arial"/>
                <w:b/>
                <w:color w:val="000000"/>
                <w:sz w:val="20"/>
                <w:szCs w:val="20"/>
              </w:rPr>
              <w:t>.660</w:t>
            </w:r>
          </w:p>
        </w:tc>
      </w:tr>
      <w:tr w:rsidR="000C4278" w:rsidRPr="00D8768F" w:rsidTr="006F52E2">
        <w:trPr>
          <w:cantSplit/>
          <w:tblHeader/>
        </w:trPr>
        <w:tc>
          <w:tcPr>
            <w:tcW w:w="1281" w:type="dxa"/>
            <w:shd w:val="clear" w:color="auto" w:fill="FFFFFF"/>
          </w:tcPr>
          <w:p w:rsidR="000C4278" w:rsidRPr="00D8768F" w:rsidRDefault="000C4278" w:rsidP="00EC4114">
            <w:pPr>
              <w:widowControl w:val="0"/>
              <w:numPr>
                <w:ilvl w:val="0"/>
                <w:numId w:val="2"/>
              </w:numPr>
              <w:spacing w:after="0" w:line="240" w:lineRule="auto"/>
              <w:rPr>
                <w:rFonts w:ascii="Arial" w:hAnsi="Arial" w:cs="Arial"/>
                <w:sz w:val="20"/>
                <w:szCs w:val="20"/>
              </w:rPr>
            </w:pPr>
          </w:p>
        </w:tc>
        <w:tc>
          <w:tcPr>
            <w:tcW w:w="1134" w:type="dxa"/>
            <w:shd w:val="clear" w:color="auto" w:fill="FFFFFF"/>
          </w:tcPr>
          <w:p w:rsidR="000C4278" w:rsidRPr="00AA6090" w:rsidRDefault="000C4278" w:rsidP="00EC4114">
            <w:pPr>
              <w:autoSpaceDE w:val="0"/>
              <w:autoSpaceDN w:val="0"/>
              <w:adjustRightInd w:val="0"/>
              <w:spacing w:after="0" w:line="240" w:lineRule="auto"/>
              <w:ind w:left="60" w:right="60"/>
              <w:jc w:val="center"/>
              <w:rPr>
                <w:rFonts w:ascii="Arial" w:hAnsi="Arial" w:cs="Arial"/>
                <w:color w:val="000000"/>
                <w:sz w:val="20"/>
                <w:szCs w:val="20"/>
              </w:rPr>
            </w:pPr>
            <w:r w:rsidRPr="00AA6090">
              <w:rPr>
                <w:rFonts w:ascii="Arial" w:hAnsi="Arial" w:cs="Arial"/>
                <w:color w:val="000000"/>
                <w:sz w:val="20"/>
                <w:szCs w:val="20"/>
              </w:rPr>
              <w:t>.78</w:t>
            </w:r>
          </w:p>
        </w:tc>
        <w:tc>
          <w:tcPr>
            <w:tcW w:w="1134" w:type="dxa"/>
            <w:shd w:val="clear" w:color="auto" w:fill="FFFFFF"/>
          </w:tcPr>
          <w:p w:rsidR="000C4278" w:rsidRPr="00AA6090" w:rsidRDefault="000C4278" w:rsidP="00EC4114">
            <w:pPr>
              <w:autoSpaceDE w:val="0"/>
              <w:autoSpaceDN w:val="0"/>
              <w:adjustRightInd w:val="0"/>
              <w:spacing w:after="0" w:line="240" w:lineRule="auto"/>
              <w:ind w:left="60" w:right="60"/>
              <w:jc w:val="center"/>
              <w:rPr>
                <w:rFonts w:ascii="Arial" w:hAnsi="Arial" w:cs="Arial"/>
                <w:color w:val="000000"/>
                <w:sz w:val="20"/>
                <w:szCs w:val="20"/>
              </w:rPr>
            </w:pPr>
            <w:r w:rsidRPr="00AA6090">
              <w:rPr>
                <w:rFonts w:ascii="Arial" w:hAnsi="Arial" w:cs="Arial"/>
                <w:color w:val="000000"/>
                <w:sz w:val="20"/>
                <w:szCs w:val="20"/>
              </w:rPr>
              <w:t>.786</w:t>
            </w:r>
          </w:p>
        </w:tc>
      </w:tr>
      <w:tr w:rsidR="000C4278" w:rsidRPr="00D8768F" w:rsidTr="006F52E2">
        <w:trPr>
          <w:cantSplit/>
          <w:tblHeader/>
        </w:trPr>
        <w:tc>
          <w:tcPr>
            <w:tcW w:w="1281" w:type="dxa"/>
            <w:shd w:val="clear" w:color="auto" w:fill="FFFFFF"/>
          </w:tcPr>
          <w:p w:rsidR="000C4278" w:rsidRPr="00D8768F" w:rsidRDefault="000C4278" w:rsidP="00EC4114">
            <w:pPr>
              <w:widowControl w:val="0"/>
              <w:numPr>
                <w:ilvl w:val="0"/>
                <w:numId w:val="2"/>
              </w:numPr>
              <w:spacing w:after="0" w:line="240" w:lineRule="auto"/>
              <w:rPr>
                <w:rFonts w:ascii="Arial" w:hAnsi="Arial" w:cs="Arial"/>
                <w:sz w:val="20"/>
                <w:szCs w:val="20"/>
              </w:rPr>
            </w:pPr>
          </w:p>
        </w:tc>
        <w:tc>
          <w:tcPr>
            <w:tcW w:w="1134" w:type="dxa"/>
            <w:shd w:val="clear" w:color="auto" w:fill="FFFFFF"/>
          </w:tcPr>
          <w:p w:rsidR="000C4278" w:rsidRPr="00AA6090" w:rsidRDefault="000C4278" w:rsidP="00EC4114">
            <w:pPr>
              <w:autoSpaceDE w:val="0"/>
              <w:autoSpaceDN w:val="0"/>
              <w:adjustRightInd w:val="0"/>
              <w:spacing w:after="0" w:line="240" w:lineRule="auto"/>
              <w:ind w:left="60" w:right="60"/>
              <w:jc w:val="center"/>
              <w:rPr>
                <w:rFonts w:ascii="Arial" w:hAnsi="Arial" w:cs="Arial"/>
                <w:color w:val="000000"/>
                <w:sz w:val="20"/>
                <w:szCs w:val="20"/>
              </w:rPr>
            </w:pPr>
            <w:r w:rsidRPr="00AA6090">
              <w:rPr>
                <w:rFonts w:ascii="Arial" w:hAnsi="Arial" w:cs="Arial"/>
                <w:color w:val="000000"/>
                <w:sz w:val="20"/>
                <w:szCs w:val="20"/>
              </w:rPr>
              <w:t>.82</w:t>
            </w:r>
          </w:p>
        </w:tc>
        <w:tc>
          <w:tcPr>
            <w:tcW w:w="1134" w:type="dxa"/>
            <w:shd w:val="clear" w:color="auto" w:fill="FFFFFF"/>
          </w:tcPr>
          <w:p w:rsidR="000C4278" w:rsidRPr="00AA6090" w:rsidRDefault="000C4278" w:rsidP="00EC4114">
            <w:pPr>
              <w:autoSpaceDE w:val="0"/>
              <w:autoSpaceDN w:val="0"/>
              <w:adjustRightInd w:val="0"/>
              <w:spacing w:after="0" w:line="240" w:lineRule="auto"/>
              <w:ind w:left="60" w:right="60"/>
              <w:jc w:val="center"/>
              <w:rPr>
                <w:rFonts w:ascii="Arial" w:hAnsi="Arial" w:cs="Arial"/>
                <w:color w:val="000000"/>
                <w:sz w:val="20"/>
                <w:szCs w:val="20"/>
              </w:rPr>
            </w:pPr>
            <w:r w:rsidRPr="00AA6090">
              <w:rPr>
                <w:rFonts w:ascii="Arial" w:hAnsi="Arial" w:cs="Arial"/>
                <w:color w:val="000000"/>
                <w:sz w:val="20"/>
                <w:szCs w:val="20"/>
              </w:rPr>
              <w:t>.704</w:t>
            </w:r>
          </w:p>
        </w:tc>
      </w:tr>
      <w:tr w:rsidR="000C4278" w:rsidRPr="00D8768F" w:rsidTr="006F52E2">
        <w:trPr>
          <w:cantSplit/>
          <w:tblHeader/>
        </w:trPr>
        <w:tc>
          <w:tcPr>
            <w:tcW w:w="1281" w:type="dxa"/>
            <w:shd w:val="clear" w:color="auto" w:fill="FFFFFF"/>
          </w:tcPr>
          <w:p w:rsidR="000C4278" w:rsidRPr="00D8768F" w:rsidRDefault="000C4278" w:rsidP="00EC4114">
            <w:pPr>
              <w:widowControl w:val="0"/>
              <w:numPr>
                <w:ilvl w:val="0"/>
                <w:numId w:val="2"/>
              </w:numPr>
              <w:spacing w:after="0" w:line="240" w:lineRule="auto"/>
              <w:rPr>
                <w:rFonts w:ascii="Arial" w:hAnsi="Arial" w:cs="Arial"/>
                <w:i/>
                <w:sz w:val="20"/>
                <w:szCs w:val="20"/>
              </w:rPr>
            </w:pPr>
          </w:p>
        </w:tc>
        <w:tc>
          <w:tcPr>
            <w:tcW w:w="1134" w:type="dxa"/>
            <w:shd w:val="clear" w:color="auto" w:fill="FFFFFF"/>
          </w:tcPr>
          <w:p w:rsidR="000C4278" w:rsidRPr="00AA6090" w:rsidRDefault="000C4278" w:rsidP="00EC4114">
            <w:pPr>
              <w:autoSpaceDE w:val="0"/>
              <w:autoSpaceDN w:val="0"/>
              <w:adjustRightInd w:val="0"/>
              <w:spacing w:after="0" w:line="240" w:lineRule="auto"/>
              <w:ind w:left="60" w:right="60"/>
              <w:jc w:val="center"/>
              <w:rPr>
                <w:rFonts w:ascii="Arial" w:hAnsi="Arial" w:cs="Arial"/>
                <w:i/>
                <w:color w:val="000000"/>
                <w:sz w:val="20"/>
                <w:szCs w:val="20"/>
              </w:rPr>
            </w:pPr>
            <w:r w:rsidRPr="00AA6090">
              <w:rPr>
                <w:rFonts w:ascii="Arial" w:hAnsi="Arial" w:cs="Arial"/>
                <w:i/>
                <w:color w:val="000000"/>
                <w:sz w:val="20"/>
                <w:szCs w:val="20"/>
              </w:rPr>
              <w:t>.70</w:t>
            </w:r>
          </w:p>
        </w:tc>
        <w:tc>
          <w:tcPr>
            <w:tcW w:w="1134" w:type="dxa"/>
            <w:shd w:val="clear" w:color="auto" w:fill="FFFFFF"/>
          </w:tcPr>
          <w:p w:rsidR="000C4278" w:rsidRPr="00AA6090" w:rsidRDefault="000C4278" w:rsidP="00EC4114">
            <w:pPr>
              <w:autoSpaceDE w:val="0"/>
              <w:autoSpaceDN w:val="0"/>
              <w:adjustRightInd w:val="0"/>
              <w:spacing w:after="0" w:line="240" w:lineRule="auto"/>
              <w:ind w:left="60" w:right="60"/>
              <w:jc w:val="center"/>
              <w:rPr>
                <w:rFonts w:ascii="Arial" w:hAnsi="Arial" w:cs="Arial"/>
                <w:i/>
                <w:color w:val="000000"/>
                <w:sz w:val="20"/>
                <w:szCs w:val="20"/>
              </w:rPr>
            </w:pPr>
            <w:r w:rsidRPr="00AA6090">
              <w:rPr>
                <w:rFonts w:ascii="Arial" w:hAnsi="Arial" w:cs="Arial"/>
                <w:i/>
                <w:color w:val="000000"/>
                <w:sz w:val="20"/>
                <w:szCs w:val="20"/>
              </w:rPr>
              <w:t>.783</w:t>
            </w:r>
          </w:p>
        </w:tc>
      </w:tr>
      <w:tr w:rsidR="000C4278" w:rsidRPr="00D8768F" w:rsidTr="006F52E2">
        <w:trPr>
          <w:cantSplit/>
          <w:tblHeader/>
        </w:trPr>
        <w:tc>
          <w:tcPr>
            <w:tcW w:w="1281" w:type="dxa"/>
            <w:shd w:val="clear" w:color="auto" w:fill="FFFFFF"/>
          </w:tcPr>
          <w:p w:rsidR="000C4278" w:rsidRPr="00D8768F" w:rsidRDefault="000C4278" w:rsidP="00EC4114">
            <w:pPr>
              <w:widowControl w:val="0"/>
              <w:numPr>
                <w:ilvl w:val="0"/>
                <w:numId w:val="2"/>
              </w:numPr>
              <w:spacing w:after="0" w:line="240" w:lineRule="auto"/>
              <w:rPr>
                <w:rFonts w:ascii="Arial" w:hAnsi="Arial" w:cs="Arial"/>
                <w:b/>
                <w:sz w:val="20"/>
                <w:szCs w:val="20"/>
              </w:rPr>
            </w:pPr>
          </w:p>
        </w:tc>
        <w:tc>
          <w:tcPr>
            <w:tcW w:w="1134" w:type="dxa"/>
            <w:shd w:val="clear" w:color="auto" w:fill="FFFFFF"/>
          </w:tcPr>
          <w:p w:rsidR="000C4278" w:rsidRPr="00AA6090" w:rsidRDefault="000C4278" w:rsidP="00EC4114">
            <w:pPr>
              <w:autoSpaceDE w:val="0"/>
              <w:autoSpaceDN w:val="0"/>
              <w:adjustRightInd w:val="0"/>
              <w:spacing w:after="0" w:line="240" w:lineRule="auto"/>
              <w:ind w:left="60" w:right="60"/>
              <w:jc w:val="center"/>
              <w:rPr>
                <w:rFonts w:ascii="Arial" w:hAnsi="Arial" w:cs="Arial"/>
                <w:b/>
                <w:color w:val="000000"/>
                <w:sz w:val="20"/>
                <w:szCs w:val="20"/>
              </w:rPr>
            </w:pPr>
            <w:r w:rsidRPr="00AA6090">
              <w:rPr>
                <w:rFonts w:ascii="Arial" w:hAnsi="Arial" w:cs="Arial"/>
                <w:b/>
                <w:color w:val="000000"/>
                <w:sz w:val="20"/>
                <w:szCs w:val="20"/>
              </w:rPr>
              <w:t>.86</w:t>
            </w:r>
          </w:p>
        </w:tc>
        <w:tc>
          <w:tcPr>
            <w:tcW w:w="1134" w:type="dxa"/>
            <w:shd w:val="clear" w:color="auto" w:fill="FFFFFF"/>
          </w:tcPr>
          <w:p w:rsidR="000C4278" w:rsidRPr="00AA6090" w:rsidRDefault="000C4278" w:rsidP="00EC4114">
            <w:pPr>
              <w:autoSpaceDE w:val="0"/>
              <w:autoSpaceDN w:val="0"/>
              <w:adjustRightInd w:val="0"/>
              <w:spacing w:after="0" w:line="240" w:lineRule="auto"/>
              <w:ind w:left="60" w:right="60"/>
              <w:jc w:val="center"/>
              <w:rPr>
                <w:rFonts w:ascii="Arial" w:hAnsi="Arial" w:cs="Arial"/>
                <w:b/>
                <w:color w:val="000000"/>
                <w:sz w:val="20"/>
                <w:szCs w:val="20"/>
              </w:rPr>
            </w:pPr>
            <w:r w:rsidRPr="00AA6090">
              <w:rPr>
                <w:rFonts w:ascii="Arial" w:hAnsi="Arial" w:cs="Arial"/>
                <w:b/>
                <w:color w:val="000000"/>
                <w:sz w:val="20"/>
                <w:szCs w:val="20"/>
              </w:rPr>
              <w:t>.778</w:t>
            </w:r>
          </w:p>
        </w:tc>
      </w:tr>
      <w:tr w:rsidR="000C4278" w:rsidRPr="00D8768F" w:rsidTr="006F52E2">
        <w:trPr>
          <w:cantSplit/>
          <w:tblHeader/>
        </w:trPr>
        <w:tc>
          <w:tcPr>
            <w:tcW w:w="1281" w:type="dxa"/>
            <w:shd w:val="clear" w:color="auto" w:fill="FFFFFF"/>
          </w:tcPr>
          <w:p w:rsidR="000C4278" w:rsidRPr="00D8768F" w:rsidRDefault="000C4278" w:rsidP="00EC4114">
            <w:pPr>
              <w:widowControl w:val="0"/>
              <w:numPr>
                <w:ilvl w:val="0"/>
                <w:numId w:val="2"/>
              </w:numPr>
              <w:spacing w:after="0" w:line="240" w:lineRule="auto"/>
              <w:rPr>
                <w:rFonts w:ascii="Arial" w:hAnsi="Arial" w:cs="Arial"/>
                <w:i/>
                <w:sz w:val="20"/>
                <w:szCs w:val="20"/>
              </w:rPr>
            </w:pPr>
          </w:p>
        </w:tc>
        <w:tc>
          <w:tcPr>
            <w:tcW w:w="1134" w:type="dxa"/>
            <w:shd w:val="clear" w:color="auto" w:fill="FFFFFF"/>
          </w:tcPr>
          <w:p w:rsidR="000C4278" w:rsidRPr="00AA6090" w:rsidRDefault="000C4278" w:rsidP="00EC4114">
            <w:pPr>
              <w:autoSpaceDE w:val="0"/>
              <w:autoSpaceDN w:val="0"/>
              <w:adjustRightInd w:val="0"/>
              <w:spacing w:after="0" w:line="240" w:lineRule="auto"/>
              <w:ind w:left="60" w:right="60"/>
              <w:jc w:val="center"/>
              <w:rPr>
                <w:rFonts w:ascii="Arial" w:hAnsi="Arial" w:cs="Arial"/>
                <w:i/>
                <w:color w:val="000000"/>
                <w:sz w:val="20"/>
                <w:szCs w:val="20"/>
              </w:rPr>
            </w:pPr>
            <w:r w:rsidRPr="00AA6090">
              <w:rPr>
                <w:rFonts w:ascii="Arial" w:hAnsi="Arial" w:cs="Arial"/>
                <w:i/>
                <w:color w:val="000000"/>
                <w:sz w:val="20"/>
                <w:szCs w:val="20"/>
              </w:rPr>
              <w:t>.68</w:t>
            </w:r>
          </w:p>
        </w:tc>
        <w:tc>
          <w:tcPr>
            <w:tcW w:w="1134" w:type="dxa"/>
            <w:shd w:val="clear" w:color="auto" w:fill="FFFFFF"/>
          </w:tcPr>
          <w:p w:rsidR="000C4278" w:rsidRPr="00AA6090" w:rsidRDefault="000C4278" w:rsidP="00EC4114">
            <w:pPr>
              <w:autoSpaceDE w:val="0"/>
              <w:autoSpaceDN w:val="0"/>
              <w:adjustRightInd w:val="0"/>
              <w:spacing w:after="0" w:line="240" w:lineRule="auto"/>
              <w:ind w:left="60" w:right="60"/>
              <w:jc w:val="center"/>
              <w:rPr>
                <w:rFonts w:ascii="Arial" w:hAnsi="Arial" w:cs="Arial"/>
                <w:i/>
                <w:color w:val="000000"/>
                <w:sz w:val="20"/>
                <w:szCs w:val="20"/>
              </w:rPr>
            </w:pPr>
            <w:r w:rsidRPr="00AA6090">
              <w:rPr>
                <w:rFonts w:ascii="Arial" w:hAnsi="Arial" w:cs="Arial"/>
                <w:i/>
                <w:color w:val="000000"/>
                <w:sz w:val="20"/>
                <w:szCs w:val="20"/>
              </w:rPr>
              <w:t>.831</w:t>
            </w:r>
          </w:p>
        </w:tc>
      </w:tr>
      <w:tr w:rsidR="000C4278" w:rsidRPr="00D8768F" w:rsidTr="006F52E2">
        <w:trPr>
          <w:cantSplit/>
          <w:tblHeader/>
        </w:trPr>
        <w:tc>
          <w:tcPr>
            <w:tcW w:w="1281" w:type="dxa"/>
            <w:shd w:val="clear" w:color="auto" w:fill="FFFFFF"/>
          </w:tcPr>
          <w:p w:rsidR="000C4278" w:rsidRPr="00D8768F" w:rsidRDefault="000C4278" w:rsidP="00EC4114">
            <w:pPr>
              <w:widowControl w:val="0"/>
              <w:numPr>
                <w:ilvl w:val="0"/>
                <w:numId w:val="2"/>
              </w:numPr>
              <w:spacing w:after="0" w:line="240" w:lineRule="auto"/>
              <w:rPr>
                <w:rFonts w:ascii="Arial" w:hAnsi="Arial" w:cs="Arial"/>
                <w:b/>
                <w:sz w:val="20"/>
                <w:szCs w:val="20"/>
              </w:rPr>
            </w:pPr>
          </w:p>
        </w:tc>
        <w:tc>
          <w:tcPr>
            <w:tcW w:w="1134" w:type="dxa"/>
            <w:shd w:val="clear" w:color="auto" w:fill="FFFFFF"/>
          </w:tcPr>
          <w:p w:rsidR="000C4278" w:rsidRPr="00AA6090" w:rsidRDefault="000C4278" w:rsidP="00EC4114">
            <w:pPr>
              <w:autoSpaceDE w:val="0"/>
              <w:autoSpaceDN w:val="0"/>
              <w:adjustRightInd w:val="0"/>
              <w:spacing w:after="0" w:line="240" w:lineRule="auto"/>
              <w:ind w:left="60" w:right="60"/>
              <w:jc w:val="center"/>
              <w:rPr>
                <w:rFonts w:ascii="Arial" w:hAnsi="Arial" w:cs="Arial"/>
                <w:b/>
                <w:color w:val="000000"/>
                <w:sz w:val="20"/>
                <w:szCs w:val="20"/>
              </w:rPr>
            </w:pPr>
            <w:r w:rsidRPr="00AA6090">
              <w:rPr>
                <w:rFonts w:ascii="Arial" w:hAnsi="Arial" w:cs="Arial"/>
                <w:b/>
                <w:color w:val="000000"/>
                <w:sz w:val="20"/>
                <w:szCs w:val="20"/>
              </w:rPr>
              <w:t>.83</w:t>
            </w:r>
          </w:p>
        </w:tc>
        <w:tc>
          <w:tcPr>
            <w:tcW w:w="1134" w:type="dxa"/>
            <w:shd w:val="clear" w:color="auto" w:fill="FFFFFF"/>
          </w:tcPr>
          <w:p w:rsidR="000C4278" w:rsidRPr="00AA6090" w:rsidRDefault="000C4278" w:rsidP="00EC4114">
            <w:pPr>
              <w:autoSpaceDE w:val="0"/>
              <w:autoSpaceDN w:val="0"/>
              <w:adjustRightInd w:val="0"/>
              <w:spacing w:after="0" w:line="240" w:lineRule="auto"/>
              <w:ind w:left="60" w:right="60"/>
              <w:jc w:val="center"/>
              <w:rPr>
                <w:rFonts w:ascii="Arial" w:hAnsi="Arial" w:cs="Arial"/>
                <w:b/>
                <w:color w:val="000000"/>
                <w:sz w:val="20"/>
                <w:szCs w:val="20"/>
              </w:rPr>
            </w:pPr>
            <w:r w:rsidRPr="00AA6090">
              <w:rPr>
                <w:rFonts w:ascii="Arial" w:hAnsi="Arial" w:cs="Arial"/>
                <w:b/>
                <w:color w:val="000000"/>
                <w:sz w:val="20"/>
                <w:szCs w:val="20"/>
              </w:rPr>
              <w:t>.791</w:t>
            </w:r>
          </w:p>
        </w:tc>
      </w:tr>
      <w:tr w:rsidR="000C4278" w:rsidRPr="00D8768F" w:rsidTr="006F52E2">
        <w:trPr>
          <w:cantSplit/>
          <w:tblHeader/>
        </w:trPr>
        <w:tc>
          <w:tcPr>
            <w:tcW w:w="1281" w:type="dxa"/>
            <w:shd w:val="clear" w:color="auto" w:fill="FFFFFF"/>
          </w:tcPr>
          <w:p w:rsidR="000C4278" w:rsidRPr="00D8768F" w:rsidRDefault="000C4278" w:rsidP="00EC4114">
            <w:pPr>
              <w:widowControl w:val="0"/>
              <w:numPr>
                <w:ilvl w:val="0"/>
                <w:numId w:val="2"/>
              </w:numPr>
              <w:spacing w:after="0" w:line="240" w:lineRule="auto"/>
              <w:rPr>
                <w:rFonts w:ascii="Arial" w:hAnsi="Arial" w:cs="Arial"/>
                <w:sz w:val="20"/>
                <w:szCs w:val="20"/>
              </w:rPr>
            </w:pPr>
          </w:p>
        </w:tc>
        <w:tc>
          <w:tcPr>
            <w:tcW w:w="1134" w:type="dxa"/>
            <w:shd w:val="clear" w:color="auto" w:fill="FFFFFF"/>
          </w:tcPr>
          <w:p w:rsidR="000C4278" w:rsidRPr="00AA6090" w:rsidRDefault="000C4278" w:rsidP="00EC4114">
            <w:pPr>
              <w:autoSpaceDE w:val="0"/>
              <w:autoSpaceDN w:val="0"/>
              <w:adjustRightInd w:val="0"/>
              <w:spacing w:after="0" w:line="240" w:lineRule="auto"/>
              <w:ind w:left="60" w:right="60"/>
              <w:jc w:val="center"/>
              <w:rPr>
                <w:rFonts w:ascii="Arial" w:hAnsi="Arial" w:cs="Arial"/>
                <w:color w:val="000000"/>
                <w:sz w:val="20"/>
                <w:szCs w:val="20"/>
              </w:rPr>
            </w:pPr>
            <w:r w:rsidRPr="00AA6090">
              <w:rPr>
                <w:rFonts w:ascii="Arial" w:hAnsi="Arial" w:cs="Arial"/>
                <w:color w:val="000000"/>
                <w:sz w:val="20"/>
                <w:szCs w:val="20"/>
              </w:rPr>
              <w:t>.78</w:t>
            </w:r>
          </w:p>
        </w:tc>
        <w:tc>
          <w:tcPr>
            <w:tcW w:w="1134" w:type="dxa"/>
            <w:shd w:val="clear" w:color="auto" w:fill="FFFFFF"/>
          </w:tcPr>
          <w:p w:rsidR="000C4278" w:rsidRPr="00AA6090" w:rsidRDefault="000C4278" w:rsidP="00EC4114">
            <w:pPr>
              <w:autoSpaceDE w:val="0"/>
              <w:autoSpaceDN w:val="0"/>
              <w:adjustRightInd w:val="0"/>
              <w:spacing w:after="0" w:line="240" w:lineRule="auto"/>
              <w:ind w:left="60" w:right="60"/>
              <w:jc w:val="center"/>
              <w:rPr>
                <w:rFonts w:ascii="Arial" w:hAnsi="Arial" w:cs="Arial"/>
                <w:color w:val="000000"/>
                <w:sz w:val="20"/>
                <w:szCs w:val="20"/>
              </w:rPr>
            </w:pPr>
            <w:r w:rsidRPr="00AA6090">
              <w:rPr>
                <w:rFonts w:ascii="Arial" w:hAnsi="Arial" w:cs="Arial"/>
                <w:color w:val="000000"/>
                <w:sz w:val="20"/>
                <w:szCs w:val="20"/>
              </w:rPr>
              <w:t>.702</w:t>
            </w:r>
          </w:p>
        </w:tc>
      </w:tr>
      <w:tr w:rsidR="000C4278" w:rsidRPr="00D8768F" w:rsidTr="006F52E2">
        <w:trPr>
          <w:cantSplit/>
          <w:tblHeader/>
        </w:trPr>
        <w:tc>
          <w:tcPr>
            <w:tcW w:w="1281" w:type="dxa"/>
            <w:shd w:val="clear" w:color="auto" w:fill="FFFFFF"/>
          </w:tcPr>
          <w:p w:rsidR="000C4278" w:rsidRPr="00D8768F" w:rsidRDefault="000C4278" w:rsidP="00EC4114">
            <w:pPr>
              <w:widowControl w:val="0"/>
              <w:numPr>
                <w:ilvl w:val="0"/>
                <w:numId w:val="2"/>
              </w:numPr>
              <w:spacing w:after="0" w:line="240" w:lineRule="auto"/>
              <w:rPr>
                <w:rFonts w:ascii="Arial" w:hAnsi="Arial" w:cs="Arial"/>
                <w:sz w:val="20"/>
                <w:szCs w:val="20"/>
              </w:rPr>
            </w:pPr>
          </w:p>
        </w:tc>
        <w:tc>
          <w:tcPr>
            <w:tcW w:w="1134" w:type="dxa"/>
            <w:shd w:val="clear" w:color="auto" w:fill="FFFFFF"/>
          </w:tcPr>
          <w:p w:rsidR="000C4278" w:rsidRPr="00AA6090" w:rsidRDefault="000C4278" w:rsidP="00EC4114">
            <w:pPr>
              <w:autoSpaceDE w:val="0"/>
              <w:autoSpaceDN w:val="0"/>
              <w:adjustRightInd w:val="0"/>
              <w:spacing w:after="0" w:line="240" w:lineRule="auto"/>
              <w:ind w:left="60" w:right="60"/>
              <w:jc w:val="center"/>
              <w:rPr>
                <w:rFonts w:ascii="Arial" w:hAnsi="Arial" w:cs="Arial"/>
                <w:color w:val="000000"/>
                <w:sz w:val="20"/>
                <w:szCs w:val="20"/>
              </w:rPr>
            </w:pPr>
            <w:r w:rsidRPr="00AA6090">
              <w:rPr>
                <w:rFonts w:ascii="Arial" w:hAnsi="Arial" w:cs="Arial"/>
                <w:color w:val="000000"/>
                <w:sz w:val="20"/>
                <w:szCs w:val="20"/>
              </w:rPr>
              <w:t>.71</w:t>
            </w:r>
          </w:p>
        </w:tc>
        <w:tc>
          <w:tcPr>
            <w:tcW w:w="1134" w:type="dxa"/>
            <w:shd w:val="clear" w:color="auto" w:fill="FFFFFF"/>
          </w:tcPr>
          <w:p w:rsidR="000C4278" w:rsidRPr="00AA6090" w:rsidRDefault="000C4278" w:rsidP="00EC4114">
            <w:pPr>
              <w:autoSpaceDE w:val="0"/>
              <w:autoSpaceDN w:val="0"/>
              <w:adjustRightInd w:val="0"/>
              <w:spacing w:after="0" w:line="240" w:lineRule="auto"/>
              <w:ind w:left="60" w:right="60"/>
              <w:jc w:val="center"/>
              <w:rPr>
                <w:rFonts w:ascii="Arial" w:hAnsi="Arial" w:cs="Arial"/>
                <w:color w:val="000000"/>
                <w:sz w:val="20"/>
                <w:szCs w:val="20"/>
              </w:rPr>
            </w:pPr>
            <w:r w:rsidRPr="00AA6090">
              <w:rPr>
                <w:rFonts w:ascii="Arial" w:hAnsi="Arial" w:cs="Arial"/>
                <w:color w:val="000000"/>
                <w:sz w:val="20"/>
                <w:szCs w:val="20"/>
              </w:rPr>
              <w:t>.849</w:t>
            </w:r>
          </w:p>
        </w:tc>
      </w:tr>
      <w:tr w:rsidR="000C4278" w:rsidRPr="00D8768F" w:rsidTr="006F52E2">
        <w:trPr>
          <w:cantSplit/>
          <w:tblHeader/>
        </w:trPr>
        <w:tc>
          <w:tcPr>
            <w:tcW w:w="1281" w:type="dxa"/>
            <w:shd w:val="clear" w:color="auto" w:fill="FFFFFF"/>
          </w:tcPr>
          <w:p w:rsidR="000C4278" w:rsidRPr="00D8768F" w:rsidRDefault="000C4278" w:rsidP="00EC4114">
            <w:pPr>
              <w:widowControl w:val="0"/>
              <w:numPr>
                <w:ilvl w:val="0"/>
                <w:numId w:val="2"/>
              </w:numPr>
              <w:spacing w:after="0" w:line="240" w:lineRule="auto"/>
              <w:rPr>
                <w:rFonts w:ascii="Arial" w:hAnsi="Arial" w:cs="Arial"/>
                <w:i/>
                <w:sz w:val="20"/>
                <w:szCs w:val="20"/>
              </w:rPr>
            </w:pPr>
          </w:p>
        </w:tc>
        <w:tc>
          <w:tcPr>
            <w:tcW w:w="1134" w:type="dxa"/>
            <w:shd w:val="clear" w:color="auto" w:fill="FFFFFF"/>
          </w:tcPr>
          <w:p w:rsidR="000C4278" w:rsidRPr="00AA6090" w:rsidRDefault="000C4278" w:rsidP="00EC4114">
            <w:pPr>
              <w:autoSpaceDE w:val="0"/>
              <w:autoSpaceDN w:val="0"/>
              <w:adjustRightInd w:val="0"/>
              <w:spacing w:after="0" w:line="240" w:lineRule="auto"/>
              <w:ind w:left="60" w:right="60"/>
              <w:jc w:val="center"/>
              <w:rPr>
                <w:rFonts w:ascii="Arial" w:hAnsi="Arial" w:cs="Arial"/>
                <w:i/>
                <w:color w:val="000000"/>
                <w:sz w:val="20"/>
                <w:szCs w:val="20"/>
              </w:rPr>
            </w:pPr>
            <w:r w:rsidRPr="00AA6090">
              <w:rPr>
                <w:rFonts w:ascii="Arial" w:hAnsi="Arial" w:cs="Arial"/>
                <w:i/>
                <w:color w:val="000000"/>
                <w:sz w:val="20"/>
                <w:szCs w:val="20"/>
              </w:rPr>
              <w:t>.70</w:t>
            </w:r>
          </w:p>
        </w:tc>
        <w:tc>
          <w:tcPr>
            <w:tcW w:w="1134" w:type="dxa"/>
            <w:shd w:val="clear" w:color="auto" w:fill="FFFFFF"/>
          </w:tcPr>
          <w:p w:rsidR="000C4278" w:rsidRPr="00AA6090" w:rsidRDefault="000C4278" w:rsidP="00EC4114">
            <w:pPr>
              <w:autoSpaceDE w:val="0"/>
              <w:autoSpaceDN w:val="0"/>
              <w:adjustRightInd w:val="0"/>
              <w:spacing w:after="0" w:line="240" w:lineRule="auto"/>
              <w:ind w:left="60" w:right="60"/>
              <w:jc w:val="center"/>
              <w:rPr>
                <w:rFonts w:ascii="Arial" w:hAnsi="Arial" w:cs="Arial"/>
                <w:i/>
                <w:color w:val="000000"/>
                <w:sz w:val="20"/>
                <w:szCs w:val="20"/>
              </w:rPr>
            </w:pPr>
            <w:r w:rsidRPr="00AA6090">
              <w:rPr>
                <w:rFonts w:ascii="Arial" w:hAnsi="Arial" w:cs="Arial"/>
                <w:i/>
                <w:color w:val="000000"/>
                <w:sz w:val="20"/>
                <w:szCs w:val="20"/>
              </w:rPr>
              <w:t>.785</w:t>
            </w:r>
          </w:p>
        </w:tc>
      </w:tr>
      <w:tr w:rsidR="000C4278" w:rsidRPr="00D8768F" w:rsidTr="006F52E2">
        <w:trPr>
          <w:cantSplit/>
          <w:tblHeader/>
        </w:trPr>
        <w:tc>
          <w:tcPr>
            <w:tcW w:w="1281" w:type="dxa"/>
            <w:shd w:val="clear" w:color="auto" w:fill="FFFFFF"/>
          </w:tcPr>
          <w:p w:rsidR="000C4278" w:rsidRPr="00D8768F" w:rsidRDefault="000C4278" w:rsidP="00EC4114">
            <w:pPr>
              <w:widowControl w:val="0"/>
              <w:numPr>
                <w:ilvl w:val="0"/>
                <w:numId w:val="2"/>
              </w:numPr>
              <w:spacing w:after="0" w:line="240" w:lineRule="auto"/>
              <w:rPr>
                <w:rFonts w:ascii="Arial" w:hAnsi="Arial" w:cs="Arial"/>
                <w:sz w:val="20"/>
                <w:szCs w:val="20"/>
              </w:rPr>
            </w:pPr>
          </w:p>
        </w:tc>
        <w:tc>
          <w:tcPr>
            <w:tcW w:w="1134" w:type="dxa"/>
            <w:shd w:val="clear" w:color="auto" w:fill="FFFFFF"/>
          </w:tcPr>
          <w:p w:rsidR="000C4278" w:rsidRPr="00AA6090" w:rsidRDefault="000C4278" w:rsidP="00EC4114">
            <w:pPr>
              <w:autoSpaceDE w:val="0"/>
              <w:autoSpaceDN w:val="0"/>
              <w:adjustRightInd w:val="0"/>
              <w:spacing w:after="0" w:line="240" w:lineRule="auto"/>
              <w:ind w:left="60" w:right="60"/>
              <w:jc w:val="center"/>
              <w:rPr>
                <w:rFonts w:ascii="Arial" w:hAnsi="Arial" w:cs="Arial"/>
                <w:color w:val="000000"/>
                <w:sz w:val="20"/>
                <w:szCs w:val="20"/>
              </w:rPr>
            </w:pPr>
            <w:r w:rsidRPr="00AA6090">
              <w:rPr>
                <w:rFonts w:ascii="Arial" w:hAnsi="Arial" w:cs="Arial"/>
                <w:color w:val="000000"/>
                <w:sz w:val="20"/>
                <w:szCs w:val="20"/>
              </w:rPr>
              <w:t>.77</w:t>
            </w:r>
          </w:p>
        </w:tc>
        <w:tc>
          <w:tcPr>
            <w:tcW w:w="1134" w:type="dxa"/>
            <w:shd w:val="clear" w:color="auto" w:fill="FFFFFF"/>
          </w:tcPr>
          <w:p w:rsidR="000C4278" w:rsidRPr="00AA6090" w:rsidRDefault="000C4278" w:rsidP="00EC4114">
            <w:pPr>
              <w:autoSpaceDE w:val="0"/>
              <w:autoSpaceDN w:val="0"/>
              <w:adjustRightInd w:val="0"/>
              <w:spacing w:after="0" w:line="240" w:lineRule="auto"/>
              <w:ind w:left="60" w:right="60"/>
              <w:jc w:val="center"/>
              <w:rPr>
                <w:rFonts w:ascii="Arial" w:hAnsi="Arial" w:cs="Arial"/>
                <w:color w:val="000000"/>
                <w:sz w:val="20"/>
                <w:szCs w:val="20"/>
              </w:rPr>
            </w:pPr>
            <w:r w:rsidRPr="00AA6090">
              <w:rPr>
                <w:rFonts w:ascii="Arial" w:hAnsi="Arial" w:cs="Arial"/>
                <w:color w:val="000000"/>
                <w:sz w:val="20"/>
                <w:szCs w:val="20"/>
              </w:rPr>
              <w:t>.779</w:t>
            </w:r>
          </w:p>
        </w:tc>
      </w:tr>
      <w:tr w:rsidR="000C4278" w:rsidRPr="00D8768F" w:rsidTr="006F52E2">
        <w:trPr>
          <w:cantSplit/>
          <w:tblHeader/>
        </w:trPr>
        <w:tc>
          <w:tcPr>
            <w:tcW w:w="1281" w:type="dxa"/>
            <w:shd w:val="clear" w:color="auto" w:fill="FFFFFF"/>
          </w:tcPr>
          <w:p w:rsidR="000C4278" w:rsidRPr="00D8768F" w:rsidRDefault="000C4278" w:rsidP="00EC4114">
            <w:pPr>
              <w:widowControl w:val="0"/>
              <w:numPr>
                <w:ilvl w:val="0"/>
                <w:numId w:val="2"/>
              </w:numPr>
              <w:spacing w:after="0" w:line="240" w:lineRule="auto"/>
              <w:rPr>
                <w:rFonts w:ascii="Arial" w:hAnsi="Arial" w:cs="Arial"/>
                <w:sz w:val="20"/>
                <w:szCs w:val="20"/>
              </w:rPr>
            </w:pPr>
          </w:p>
        </w:tc>
        <w:tc>
          <w:tcPr>
            <w:tcW w:w="1134" w:type="dxa"/>
            <w:shd w:val="clear" w:color="auto" w:fill="FFFFFF"/>
          </w:tcPr>
          <w:p w:rsidR="000C4278" w:rsidRPr="00AA6090" w:rsidRDefault="000C4278" w:rsidP="00EC4114">
            <w:pPr>
              <w:autoSpaceDE w:val="0"/>
              <w:autoSpaceDN w:val="0"/>
              <w:adjustRightInd w:val="0"/>
              <w:spacing w:after="0" w:line="240" w:lineRule="auto"/>
              <w:ind w:left="60" w:right="60"/>
              <w:jc w:val="center"/>
              <w:rPr>
                <w:rFonts w:ascii="Arial" w:hAnsi="Arial" w:cs="Arial"/>
                <w:color w:val="000000"/>
                <w:sz w:val="20"/>
                <w:szCs w:val="20"/>
              </w:rPr>
            </w:pPr>
            <w:r w:rsidRPr="00AA6090">
              <w:rPr>
                <w:rFonts w:ascii="Arial" w:hAnsi="Arial" w:cs="Arial"/>
                <w:color w:val="000000"/>
                <w:sz w:val="20"/>
                <w:szCs w:val="20"/>
              </w:rPr>
              <w:t>.72</w:t>
            </w:r>
          </w:p>
        </w:tc>
        <w:tc>
          <w:tcPr>
            <w:tcW w:w="1134" w:type="dxa"/>
            <w:shd w:val="clear" w:color="auto" w:fill="FFFFFF"/>
          </w:tcPr>
          <w:p w:rsidR="000C4278" w:rsidRPr="00AA6090" w:rsidRDefault="000C4278" w:rsidP="00EC4114">
            <w:pPr>
              <w:autoSpaceDE w:val="0"/>
              <w:autoSpaceDN w:val="0"/>
              <w:adjustRightInd w:val="0"/>
              <w:spacing w:after="0" w:line="240" w:lineRule="auto"/>
              <w:ind w:left="60" w:right="60"/>
              <w:jc w:val="center"/>
              <w:rPr>
                <w:rFonts w:ascii="Arial" w:hAnsi="Arial" w:cs="Arial"/>
                <w:color w:val="000000"/>
                <w:sz w:val="20"/>
                <w:szCs w:val="20"/>
              </w:rPr>
            </w:pPr>
            <w:r w:rsidRPr="00AA6090">
              <w:rPr>
                <w:rFonts w:ascii="Arial" w:hAnsi="Arial" w:cs="Arial"/>
                <w:color w:val="000000"/>
                <w:sz w:val="20"/>
                <w:szCs w:val="20"/>
              </w:rPr>
              <w:t>.722</w:t>
            </w:r>
          </w:p>
        </w:tc>
      </w:tr>
      <w:tr w:rsidR="000C4278" w:rsidRPr="00D8768F" w:rsidTr="006F52E2">
        <w:trPr>
          <w:cantSplit/>
        </w:trPr>
        <w:tc>
          <w:tcPr>
            <w:tcW w:w="1281" w:type="dxa"/>
            <w:tcBorders>
              <w:bottom w:val="single" w:sz="4" w:space="0" w:color="auto"/>
            </w:tcBorders>
            <w:shd w:val="clear" w:color="auto" w:fill="FFFFFF"/>
          </w:tcPr>
          <w:p w:rsidR="000C4278" w:rsidRPr="00D8768F" w:rsidRDefault="000C4278" w:rsidP="00EC4114">
            <w:pPr>
              <w:widowControl w:val="0"/>
              <w:numPr>
                <w:ilvl w:val="0"/>
                <w:numId w:val="2"/>
              </w:numPr>
              <w:spacing w:after="0" w:line="240" w:lineRule="auto"/>
              <w:rPr>
                <w:rFonts w:ascii="Arial" w:hAnsi="Arial" w:cs="Arial"/>
                <w:sz w:val="20"/>
                <w:szCs w:val="20"/>
              </w:rPr>
            </w:pPr>
          </w:p>
        </w:tc>
        <w:tc>
          <w:tcPr>
            <w:tcW w:w="1134" w:type="dxa"/>
            <w:tcBorders>
              <w:bottom w:val="single" w:sz="4" w:space="0" w:color="auto"/>
            </w:tcBorders>
            <w:shd w:val="clear" w:color="auto" w:fill="FFFFFF"/>
          </w:tcPr>
          <w:p w:rsidR="000C4278" w:rsidRPr="00AA6090" w:rsidRDefault="000C4278" w:rsidP="00EC4114">
            <w:pPr>
              <w:autoSpaceDE w:val="0"/>
              <w:autoSpaceDN w:val="0"/>
              <w:adjustRightInd w:val="0"/>
              <w:spacing w:after="0" w:line="240" w:lineRule="auto"/>
              <w:ind w:left="60" w:right="60"/>
              <w:jc w:val="center"/>
              <w:rPr>
                <w:rFonts w:ascii="Arial" w:hAnsi="Arial" w:cs="Arial"/>
                <w:color w:val="000000"/>
                <w:sz w:val="20"/>
                <w:szCs w:val="20"/>
              </w:rPr>
            </w:pPr>
            <w:r w:rsidRPr="00AA6090">
              <w:rPr>
                <w:rFonts w:ascii="Arial" w:hAnsi="Arial" w:cs="Arial"/>
                <w:color w:val="000000"/>
                <w:sz w:val="20"/>
                <w:szCs w:val="20"/>
              </w:rPr>
              <w:t>.81</w:t>
            </w:r>
          </w:p>
        </w:tc>
        <w:tc>
          <w:tcPr>
            <w:tcW w:w="1134" w:type="dxa"/>
            <w:tcBorders>
              <w:bottom w:val="single" w:sz="4" w:space="0" w:color="auto"/>
            </w:tcBorders>
            <w:shd w:val="clear" w:color="auto" w:fill="FFFFFF"/>
          </w:tcPr>
          <w:p w:rsidR="000C4278" w:rsidRPr="00AA6090" w:rsidRDefault="000C4278" w:rsidP="00EC4114">
            <w:pPr>
              <w:autoSpaceDE w:val="0"/>
              <w:autoSpaceDN w:val="0"/>
              <w:adjustRightInd w:val="0"/>
              <w:spacing w:after="0" w:line="240" w:lineRule="auto"/>
              <w:ind w:left="60" w:right="60"/>
              <w:jc w:val="center"/>
              <w:rPr>
                <w:rFonts w:ascii="Arial" w:hAnsi="Arial" w:cs="Arial"/>
                <w:color w:val="000000"/>
                <w:sz w:val="20"/>
                <w:szCs w:val="20"/>
              </w:rPr>
            </w:pPr>
            <w:r w:rsidRPr="00AA6090">
              <w:rPr>
                <w:rFonts w:ascii="Arial" w:hAnsi="Arial" w:cs="Arial"/>
                <w:color w:val="000000"/>
                <w:sz w:val="20"/>
                <w:szCs w:val="20"/>
              </w:rPr>
              <w:t>.833</w:t>
            </w:r>
          </w:p>
        </w:tc>
      </w:tr>
    </w:tbl>
    <w:p w:rsidR="00AA6090" w:rsidRPr="005F12BA" w:rsidRDefault="00C533D2" w:rsidP="00C533D2">
      <w:pPr>
        <w:autoSpaceDE w:val="0"/>
        <w:autoSpaceDN w:val="0"/>
        <w:adjustRightInd w:val="0"/>
        <w:spacing w:after="0" w:line="240" w:lineRule="auto"/>
        <w:rPr>
          <w:rFonts w:ascii="Arial" w:hAnsi="Arial" w:cs="Arial"/>
          <w:sz w:val="16"/>
          <w:szCs w:val="16"/>
        </w:rPr>
      </w:pPr>
      <w:r w:rsidRPr="005F12BA">
        <w:rPr>
          <w:rFonts w:ascii="Arial" w:hAnsi="Arial" w:cs="Arial"/>
          <w:sz w:val="16"/>
          <w:szCs w:val="16"/>
        </w:rPr>
        <w:t xml:space="preserve">Nota: las medias más altas están señaladas con negritas </w:t>
      </w:r>
    </w:p>
    <w:p w:rsidR="00AA6090" w:rsidRDefault="00AA6090" w:rsidP="00DB6EFA">
      <w:pPr>
        <w:spacing w:after="0" w:line="240" w:lineRule="auto"/>
        <w:rPr>
          <w:rFonts w:ascii="Arial" w:hAnsi="Arial" w:cs="Arial"/>
          <w:b/>
          <w:sz w:val="24"/>
          <w:szCs w:val="24"/>
        </w:rPr>
      </w:pPr>
    </w:p>
    <w:p w:rsidR="00AA6090" w:rsidRDefault="00EC4114" w:rsidP="00DB6EFA">
      <w:pPr>
        <w:spacing w:after="0" w:line="240" w:lineRule="auto"/>
        <w:rPr>
          <w:rFonts w:ascii="Arial" w:hAnsi="Arial" w:cs="Arial"/>
          <w:sz w:val="24"/>
          <w:szCs w:val="24"/>
        </w:rPr>
      </w:pPr>
      <w:r>
        <w:rPr>
          <w:rFonts w:ascii="Arial" w:hAnsi="Arial" w:cs="Arial"/>
          <w:sz w:val="24"/>
          <w:szCs w:val="24"/>
        </w:rPr>
        <w:tab/>
      </w:r>
      <w:r w:rsidR="00BB7CB2">
        <w:rPr>
          <w:rFonts w:ascii="Arial" w:hAnsi="Arial" w:cs="Arial"/>
          <w:sz w:val="24"/>
          <w:szCs w:val="24"/>
        </w:rPr>
        <w:t>Con relación a los cinco</w:t>
      </w:r>
      <w:r w:rsidRPr="00EC4114">
        <w:rPr>
          <w:rFonts w:ascii="Arial" w:hAnsi="Arial" w:cs="Arial"/>
          <w:sz w:val="24"/>
          <w:szCs w:val="24"/>
        </w:rPr>
        <w:t xml:space="preserve"> indicadores</w:t>
      </w:r>
      <w:r>
        <w:rPr>
          <w:rFonts w:ascii="Arial" w:hAnsi="Arial" w:cs="Arial"/>
          <w:sz w:val="24"/>
          <w:szCs w:val="24"/>
        </w:rPr>
        <w:t xml:space="preserve"> cuantitativos d</w:t>
      </w:r>
      <w:r w:rsidRPr="00EC4114">
        <w:rPr>
          <w:rFonts w:ascii="Arial" w:hAnsi="Arial" w:cs="Arial"/>
          <w:sz w:val="24"/>
          <w:szCs w:val="24"/>
        </w:rPr>
        <w:t>e</w:t>
      </w:r>
      <w:r w:rsidR="006F52E2">
        <w:rPr>
          <w:rFonts w:ascii="Arial" w:hAnsi="Arial" w:cs="Arial"/>
          <w:sz w:val="24"/>
          <w:szCs w:val="24"/>
        </w:rPr>
        <w:t xml:space="preserve"> </w:t>
      </w:r>
      <w:r w:rsidRPr="00EC4114">
        <w:rPr>
          <w:rFonts w:ascii="Arial" w:hAnsi="Arial" w:cs="Arial"/>
          <w:sz w:val="24"/>
          <w:szCs w:val="24"/>
        </w:rPr>
        <w:t>la red de apoyo social</w:t>
      </w:r>
      <w:r>
        <w:rPr>
          <w:rFonts w:ascii="Arial" w:hAnsi="Arial" w:cs="Arial"/>
          <w:sz w:val="24"/>
          <w:szCs w:val="24"/>
        </w:rPr>
        <w:t xml:space="preserve"> los resultados obtenidos son los siguientes:</w:t>
      </w:r>
    </w:p>
    <w:p w:rsidR="00EC4114" w:rsidRDefault="00EC4114" w:rsidP="00EC4114">
      <w:pPr>
        <w:pStyle w:val="Prrafodelista"/>
        <w:numPr>
          <w:ilvl w:val="0"/>
          <w:numId w:val="3"/>
        </w:numPr>
        <w:spacing w:after="0" w:line="240" w:lineRule="auto"/>
        <w:rPr>
          <w:rFonts w:ascii="Arial" w:hAnsi="Arial" w:cs="Arial"/>
          <w:sz w:val="24"/>
          <w:szCs w:val="24"/>
        </w:rPr>
      </w:pPr>
      <w:r>
        <w:rPr>
          <w:rFonts w:ascii="Arial" w:hAnsi="Arial" w:cs="Arial"/>
          <w:sz w:val="24"/>
          <w:szCs w:val="24"/>
        </w:rPr>
        <w:t>El número mínimo de integrantes de la familia es de dos miembros y el máximo de 15, siendo el promedio seis miembros.</w:t>
      </w:r>
    </w:p>
    <w:p w:rsidR="00EC4114" w:rsidRDefault="00EC4114" w:rsidP="00EC4114">
      <w:pPr>
        <w:pStyle w:val="Prrafodelista"/>
        <w:numPr>
          <w:ilvl w:val="0"/>
          <w:numId w:val="3"/>
        </w:numPr>
        <w:spacing w:after="0" w:line="240" w:lineRule="auto"/>
        <w:rPr>
          <w:rFonts w:ascii="Arial" w:hAnsi="Arial" w:cs="Arial"/>
          <w:sz w:val="24"/>
          <w:szCs w:val="24"/>
        </w:rPr>
      </w:pPr>
      <w:r>
        <w:rPr>
          <w:rFonts w:ascii="Arial" w:hAnsi="Arial" w:cs="Arial"/>
          <w:sz w:val="24"/>
          <w:szCs w:val="24"/>
        </w:rPr>
        <w:lastRenderedPageBreak/>
        <w:t>El número mínimo de amigos  dentro de la escuela es de cero y el máximo de 93, siendo el promedio 9 amigos.</w:t>
      </w:r>
    </w:p>
    <w:p w:rsidR="00EC4114" w:rsidRDefault="00EC4114" w:rsidP="00EC4114">
      <w:pPr>
        <w:pStyle w:val="Prrafodelista"/>
        <w:numPr>
          <w:ilvl w:val="0"/>
          <w:numId w:val="3"/>
        </w:numPr>
        <w:spacing w:after="0" w:line="240" w:lineRule="auto"/>
        <w:rPr>
          <w:rFonts w:ascii="Arial" w:hAnsi="Arial" w:cs="Arial"/>
          <w:sz w:val="24"/>
          <w:szCs w:val="24"/>
        </w:rPr>
      </w:pPr>
      <w:r>
        <w:rPr>
          <w:rFonts w:ascii="Arial" w:hAnsi="Arial" w:cs="Arial"/>
          <w:sz w:val="24"/>
          <w:szCs w:val="24"/>
        </w:rPr>
        <w:t>El número mínimo de amigos fuera de la escuela es  de cero y el máximo es de 424, siendo el promedio 19 amigos.</w:t>
      </w:r>
    </w:p>
    <w:p w:rsidR="00EC4114" w:rsidRDefault="00E12DA8" w:rsidP="00EC4114">
      <w:pPr>
        <w:pStyle w:val="Prrafodelista"/>
        <w:numPr>
          <w:ilvl w:val="0"/>
          <w:numId w:val="3"/>
        </w:numPr>
        <w:spacing w:after="0" w:line="240" w:lineRule="auto"/>
        <w:rPr>
          <w:rFonts w:ascii="Arial" w:hAnsi="Arial" w:cs="Arial"/>
          <w:sz w:val="24"/>
          <w:szCs w:val="24"/>
        </w:rPr>
      </w:pPr>
      <w:r>
        <w:rPr>
          <w:rFonts w:ascii="Arial" w:hAnsi="Arial" w:cs="Arial"/>
          <w:sz w:val="24"/>
          <w:szCs w:val="24"/>
        </w:rPr>
        <w:t>El 53.1% de los</w:t>
      </w:r>
      <w:r w:rsidR="00EC4114">
        <w:rPr>
          <w:rFonts w:ascii="Arial" w:hAnsi="Arial" w:cs="Arial"/>
          <w:sz w:val="24"/>
          <w:szCs w:val="24"/>
        </w:rPr>
        <w:t xml:space="preserve"> alumnos encuestados t</w:t>
      </w:r>
      <w:r>
        <w:rPr>
          <w:rFonts w:ascii="Arial" w:hAnsi="Arial" w:cs="Arial"/>
          <w:sz w:val="24"/>
          <w:szCs w:val="24"/>
        </w:rPr>
        <w:t>enían en ese momento una pareja estable y el 46.9% no tenían una pareja estable.</w:t>
      </w:r>
    </w:p>
    <w:p w:rsidR="00E12DA8" w:rsidRDefault="00E12DA8" w:rsidP="00EC4114">
      <w:pPr>
        <w:pStyle w:val="Prrafodelista"/>
        <w:numPr>
          <w:ilvl w:val="0"/>
          <w:numId w:val="3"/>
        </w:numPr>
        <w:spacing w:after="0" w:line="240" w:lineRule="auto"/>
        <w:rPr>
          <w:rFonts w:ascii="Arial" w:hAnsi="Arial" w:cs="Arial"/>
          <w:sz w:val="24"/>
          <w:szCs w:val="24"/>
        </w:rPr>
      </w:pPr>
      <w:r>
        <w:rPr>
          <w:rFonts w:ascii="Arial" w:hAnsi="Arial" w:cs="Arial"/>
          <w:sz w:val="24"/>
          <w:szCs w:val="24"/>
        </w:rPr>
        <w:t>El 31.7% de los alumnos encuestados pertenecían a algún club o asociación, mientras que el 68.3% no pertenecían a ningún club o asociación.</w:t>
      </w:r>
    </w:p>
    <w:p w:rsidR="00AA6090" w:rsidRDefault="00AA6090" w:rsidP="00DB6EFA">
      <w:pPr>
        <w:spacing w:after="0" w:line="240" w:lineRule="auto"/>
        <w:rPr>
          <w:rFonts w:ascii="Arial" w:hAnsi="Arial" w:cs="Arial"/>
          <w:b/>
          <w:sz w:val="24"/>
          <w:szCs w:val="24"/>
        </w:rPr>
      </w:pPr>
    </w:p>
    <w:p w:rsidR="0074624D" w:rsidRDefault="0074624D" w:rsidP="00DB6EFA">
      <w:pPr>
        <w:spacing w:after="0" w:line="240" w:lineRule="auto"/>
        <w:rPr>
          <w:rFonts w:ascii="Arial" w:hAnsi="Arial" w:cs="Arial"/>
          <w:b/>
          <w:sz w:val="24"/>
          <w:szCs w:val="24"/>
        </w:rPr>
      </w:pPr>
      <w:r>
        <w:rPr>
          <w:rFonts w:ascii="Arial" w:hAnsi="Arial" w:cs="Arial"/>
          <w:b/>
          <w:sz w:val="24"/>
          <w:szCs w:val="24"/>
        </w:rPr>
        <w:tab/>
        <w:t>Análisis correlacional</w:t>
      </w:r>
    </w:p>
    <w:p w:rsidR="0074624D" w:rsidRDefault="0074624D" w:rsidP="00DB6EFA">
      <w:pPr>
        <w:spacing w:after="0" w:line="240" w:lineRule="auto"/>
        <w:rPr>
          <w:rFonts w:ascii="Arial" w:hAnsi="Arial" w:cs="Arial"/>
          <w:b/>
          <w:sz w:val="24"/>
          <w:szCs w:val="24"/>
        </w:rPr>
      </w:pPr>
    </w:p>
    <w:p w:rsidR="00AA6090" w:rsidRPr="008515A4" w:rsidRDefault="0074624D" w:rsidP="00DB6EFA">
      <w:pPr>
        <w:spacing w:after="0" w:line="240" w:lineRule="auto"/>
        <w:rPr>
          <w:rFonts w:ascii="Arial" w:hAnsi="Arial" w:cs="Arial"/>
          <w:color w:val="FF0000"/>
          <w:sz w:val="24"/>
          <w:szCs w:val="24"/>
        </w:rPr>
      </w:pPr>
      <w:r w:rsidRPr="0074624D">
        <w:rPr>
          <w:rFonts w:ascii="Arial" w:hAnsi="Arial" w:cs="Arial"/>
          <w:sz w:val="24"/>
          <w:szCs w:val="24"/>
        </w:rPr>
        <w:t xml:space="preserve">Para el análisis correlacional </w:t>
      </w:r>
      <w:r w:rsidR="008515A4" w:rsidRPr="0074624D">
        <w:rPr>
          <w:rFonts w:ascii="Arial" w:hAnsi="Arial" w:cs="Arial"/>
          <w:sz w:val="24"/>
          <w:szCs w:val="24"/>
        </w:rPr>
        <w:t>se realizaron dos procedimientos:</w:t>
      </w:r>
      <w:r w:rsidRPr="0074624D">
        <w:rPr>
          <w:rFonts w:ascii="Arial" w:hAnsi="Arial" w:cs="Arial"/>
          <w:sz w:val="24"/>
          <w:szCs w:val="24"/>
        </w:rPr>
        <w:t xml:space="preserve"> en un primer momento se estableció</w:t>
      </w:r>
      <w:r w:rsidR="008515A4" w:rsidRPr="0074624D">
        <w:rPr>
          <w:rFonts w:ascii="Arial" w:hAnsi="Arial" w:cs="Arial"/>
          <w:sz w:val="24"/>
          <w:szCs w:val="24"/>
        </w:rPr>
        <w:t xml:space="preserve"> la relación de cada uno de los indicadores cuantitativos de la red de apoyo social con cada uno de los ítems de la escala utilizada y</w:t>
      </w:r>
      <w:r w:rsidRPr="0074624D">
        <w:rPr>
          <w:rFonts w:ascii="Arial" w:hAnsi="Arial" w:cs="Arial"/>
          <w:sz w:val="24"/>
          <w:szCs w:val="24"/>
        </w:rPr>
        <w:t>,</w:t>
      </w:r>
      <w:r w:rsidR="008515A4" w:rsidRPr="0074624D">
        <w:rPr>
          <w:rFonts w:ascii="Arial" w:hAnsi="Arial" w:cs="Arial"/>
          <w:sz w:val="24"/>
          <w:szCs w:val="24"/>
        </w:rPr>
        <w:t xml:space="preserve"> en un segundo momento</w:t>
      </w:r>
      <w:r w:rsidRPr="0074624D">
        <w:rPr>
          <w:rFonts w:ascii="Arial" w:hAnsi="Arial" w:cs="Arial"/>
          <w:sz w:val="24"/>
          <w:szCs w:val="24"/>
        </w:rPr>
        <w:t>,</w:t>
      </w:r>
      <w:r w:rsidR="008515A4" w:rsidRPr="0074624D">
        <w:rPr>
          <w:rFonts w:ascii="Arial" w:hAnsi="Arial" w:cs="Arial"/>
          <w:sz w:val="24"/>
          <w:szCs w:val="24"/>
        </w:rPr>
        <w:t xml:space="preserve"> se analizó </w:t>
      </w:r>
      <w:r w:rsidR="008515A4" w:rsidRPr="00FE4445">
        <w:rPr>
          <w:rFonts w:ascii="Arial" w:hAnsi="Arial" w:cs="Arial"/>
          <w:sz w:val="24"/>
          <w:szCs w:val="24"/>
        </w:rPr>
        <w:t>la red de apoyo social, en lo general, con</w:t>
      </w:r>
      <w:r w:rsidRPr="00FE4445">
        <w:rPr>
          <w:rFonts w:ascii="Arial" w:hAnsi="Arial" w:cs="Arial"/>
          <w:sz w:val="24"/>
          <w:szCs w:val="24"/>
        </w:rPr>
        <w:t>: a)</w:t>
      </w:r>
      <w:r w:rsidR="008515A4" w:rsidRPr="00FE4445">
        <w:rPr>
          <w:rFonts w:ascii="Arial" w:hAnsi="Arial" w:cs="Arial"/>
          <w:sz w:val="24"/>
          <w:szCs w:val="24"/>
        </w:rPr>
        <w:t xml:space="preserve"> cada uno </w:t>
      </w:r>
      <w:r w:rsidRPr="00FE4445">
        <w:rPr>
          <w:rFonts w:ascii="Arial" w:hAnsi="Arial" w:cs="Arial"/>
          <w:sz w:val="24"/>
          <w:szCs w:val="24"/>
        </w:rPr>
        <w:t xml:space="preserve">de los ítems de la escala, b) </w:t>
      </w:r>
      <w:r w:rsidR="008515A4" w:rsidRPr="00FE4445">
        <w:rPr>
          <w:rFonts w:ascii="Arial" w:hAnsi="Arial" w:cs="Arial"/>
          <w:sz w:val="24"/>
          <w:szCs w:val="24"/>
        </w:rPr>
        <w:t>las medias de cada una de</w:t>
      </w:r>
      <w:r w:rsidRPr="00FE4445">
        <w:rPr>
          <w:rFonts w:ascii="Arial" w:hAnsi="Arial" w:cs="Arial"/>
          <w:sz w:val="24"/>
          <w:szCs w:val="24"/>
        </w:rPr>
        <w:t xml:space="preserve"> las dimensiones de la escala y, c) </w:t>
      </w:r>
      <w:r w:rsidR="008515A4" w:rsidRPr="00FE4445">
        <w:rPr>
          <w:rFonts w:ascii="Arial" w:hAnsi="Arial" w:cs="Arial"/>
          <w:sz w:val="24"/>
          <w:szCs w:val="24"/>
        </w:rPr>
        <w:t>la media general de la escala.</w:t>
      </w:r>
      <w:r w:rsidR="006F52E2">
        <w:rPr>
          <w:rFonts w:ascii="Arial" w:hAnsi="Arial" w:cs="Arial"/>
          <w:sz w:val="24"/>
          <w:szCs w:val="24"/>
        </w:rPr>
        <w:t xml:space="preserve"> En esta ponencia se presentan solamente los resultados del segundo momento.</w:t>
      </w:r>
    </w:p>
    <w:p w:rsidR="00FE4445" w:rsidRPr="00FE4445" w:rsidRDefault="0074624D" w:rsidP="0075232B">
      <w:pPr>
        <w:autoSpaceDE w:val="0"/>
        <w:autoSpaceDN w:val="0"/>
        <w:adjustRightInd w:val="0"/>
        <w:spacing w:after="0" w:line="240" w:lineRule="auto"/>
        <w:rPr>
          <w:rFonts w:ascii="Arial" w:hAnsi="Arial" w:cs="Arial"/>
          <w:sz w:val="24"/>
          <w:szCs w:val="24"/>
        </w:rPr>
      </w:pPr>
      <w:r>
        <w:rPr>
          <w:rFonts w:ascii="Arial" w:hAnsi="Arial" w:cs="Arial"/>
          <w:sz w:val="24"/>
          <w:szCs w:val="24"/>
        </w:rPr>
        <w:tab/>
      </w:r>
      <w:r w:rsidR="00FE4445" w:rsidRPr="00FE4445">
        <w:rPr>
          <w:rFonts w:ascii="Arial" w:hAnsi="Arial" w:cs="Arial"/>
          <w:sz w:val="24"/>
          <w:szCs w:val="24"/>
        </w:rPr>
        <w:t>Para realizar los análisis estadísticos entre la red de apoyo social, en lo general, con: a) cada uno de los ítems de la escala, b) las medias de cada una de las dimensiones de la escala y, c) la media general de la escala se procedió de la siguiente manera:</w:t>
      </w:r>
    </w:p>
    <w:p w:rsidR="00FE4445" w:rsidRPr="00FE4445" w:rsidRDefault="00FE4445" w:rsidP="00FE4445">
      <w:pPr>
        <w:pStyle w:val="Prrafodelista"/>
        <w:numPr>
          <w:ilvl w:val="0"/>
          <w:numId w:val="6"/>
        </w:numPr>
        <w:autoSpaceDE w:val="0"/>
        <w:autoSpaceDN w:val="0"/>
        <w:adjustRightInd w:val="0"/>
        <w:spacing w:after="0" w:line="240" w:lineRule="auto"/>
        <w:rPr>
          <w:rFonts w:ascii="Arial" w:hAnsi="Arial" w:cs="Arial"/>
          <w:sz w:val="24"/>
          <w:szCs w:val="24"/>
        </w:rPr>
      </w:pPr>
      <w:r w:rsidRPr="00FE4445">
        <w:rPr>
          <w:rFonts w:ascii="Arial" w:hAnsi="Arial" w:cs="Arial"/>
          <w:sz w:val="24"/>
          <w:szCs w:val="24"/>
        </w:rPr>
        <w:t>Se obtuvo una media por encuestado de los cinco indicadores cuantitativos de la red de apoyo social.</w:t>
      </w:r>
    </w:p>
    <w:p w:rsidR="00FE4445" w:rsidRPr="00FE4445" w:rsidRDefault="00FE4445" w:rsidP="00FE4445">
      <w:pPr>
        <w:pStyle w:val="Prrafodelista"/>
        <w:numPr>
          <w:ilvl w:val="0"/>
          <w:numId w:val="6"/>
        </w:numPr>
        <w:autoSpaceDE w:val="0"/>
        <w:autoSpaceDN w:val="0"/>
        <w:adjustRightInd w:val="0"/>
        <w:spacing w:after="0" w:line="240" w:lineRule="auto"/>
        <w:rPr>
          <w:rFonts w:ascii="Arial" w:hAnsi="Arial" w:cs="Arial"/>
          <w:sz w:val="24"/>
          <w:szCs w:val="24"/>
        </w:rPr>
      </w:pPr>
      <w:r w:rsidRPr="00FE4445">
        <w:rPr>
          <w:rFonts w:ascii="Arial" w:hAnsi="Arial" w:cs="Arial"/>
          <w:sz w:val="24"/>
          <w:szCs w:val="24"/>
        </w:rPr>
        <w:t>A estas media se les realizó análisis de cuartiles determinando que el primer cuartil sería &lt;3.2 y el cuarto cuartil sería &gt;8.6</w:t>
      </w:r>
    </w:p>
    <w:p w:rsidR="00FE4445" w:rsidRPr="00FE4445" w:rsidRDefault="00FE4445" w:rsidP="00FE4445">
      <w:pPr>
        <w:pStyle w:val="Prrafodelista"/>
        <w:numPr>
          <w:ilvl w:val="0"/>
          <w:numId w:val="6"/>
        </w:numPr>
        <w:autoSpaceDE w:val="0"/>
        <w:autoSpaceDN w:val="0"/>
        <w:adjustRightInd w:val="0"/>
        <w:spacing w:after="0" w:line="240" w:lineRule="auto"/>
        <w:rPr>
          <w:rFonts w:ascii="Arial" w:hAnsi="Arial" w:cs="Arial"/>
          <w:sz w:val="24"/>
          <w:szCs w:val="24"/>
        </w:rPr>
      </w:pPr>
      <w:r w:rsidRPr="00FE4445">
        <w:rPr>
          <w:rFonts w:ascii="Arial" w:hAnsi="Arial" w:cs="Arial"/>
          <w:sz w:val="24"/>
          <w:szCs w:val="24"/>
        </w:rPr>
        <w:t xml:space="preserve">Se identificó  a los sujetos que se ubicaban en el primer y cuarto cuartil y con ellos se hizo un análisis de diferencia de grupos mediante la t de </w:t>
      </w:r>
      <w:proofErr w:type="spellStart"/>
      <w:r w:rsidRPr="00FE4445">
        <w:rPr>
          <w:rFonts w:ascii="Arial" w:hAnsi="Arial" w:cs="Arial"/>
          <w:sz w:val="24"/>
          <w:szCs w:val="24"/>
        </w:rPr>
        <w:t>Student</w:t>
      </w:r>
      <w:proofErr w:type="spellEnd"/>
      <w:r w:rsidRPr="00FE4445">
        <w:rPr>
          <w:rFonts w:ascii="Arial" w:hAnsi="Arial" w:cs="Arial"/>
          <w:sz w:val="24"/>
          <w:szCs w:val="24"/>
        </w:rPr>
        <w:t>.</w:t>
      </w:r>
    </w:p>
    <w:p w:rsidR="00FE4445" w:rsidRPr="00FE4445" w:rsidRDefault="00FE4445" w:rsidP="00FE4445">
      <w:pPr>
        <w:autoSpaceDE w:val="0"/>
        <w:autoSpaceDN w:val="0"/>
        <w:adjustRightInd w:val="0"/>
        <w:spacing w:after="0" w:line="240" w:lineRule="auto"/>
        <w:rPr>
          <w:rFonts w:ascii="Arial" w:hAnsi="Arial" w:cs="Arial"/>
          <w:sz w:val="24"/>
          <w:szCs w:val="24"/>
        </w:rPr>
      </w:pPr>
      <w:r w:rsidRPr="00FE4445">
        <w:rPr>
          <w:rFonts w:ascii="Arial" w:hAnsi="Arial" w:cs="Arial"/>
          <w:sz w:val="24"/>
          <w:szCs w:val="24"/>
        </w:rPr>
        <w:tab/>
        <w:t>Los resultados obtenidos en el primer análisis</w:t>
      </w:r>
      <w:r>
        <w:rPr>
          <w:rFonts w:ascii="Arial" w:hAnsi="Arial" w:cs="Arial"/>
          <w:sz w:val="24"/>
          <w:szCs w:val="24"/>
        </w:rPr>
        <w:t>,</w:t>
      </w:r>
      <w:r w:rsidRPr="00FE4445">
        <w:rPr>
          <w:rFonts w:ascii="Arial" w:hAnsi="Arial" w:cs="Arial"/>
          <w:sz w:val="24"/>
          <w:szCs w:val="24"/>
        </w:rPr>
        <w:t xml:space="preserve"> mediante este procedimiento</w:t>
      </w:r>
      <w:r>
        <w:rPr>
          <w:rFonts w:ascii="Arial" w:hAnsi="Arial" w:cs="Arial"/>
          <w:sz w:val="24"/>
          <w:szCs w:val="24"/>
        </w:rPr>
        <w:t>,</w:t>
      </w:r>
      <w:r w:rsidR="006F52E2">
        <w:rPr>
          <w:rFonts w:ascii="Arial" w:hAnsi="Arial" w:cs="Arial"/>
          <w:sz w:val="24"/>
          <w:szCs w:val="24"/>
        </w:rPr>
        <w:t xml:space="preserve"> se muestran en la tabla 2</w:t>
      </w:r>
      <w:r w:rsidRPr="00FE4445">
        <w:rPr>
          <w:rFonts w:ascii="Arial" w:hAnsi="Arial" w:cs="Arial"/>
          <w:sz w:val="24"/>
          <w:szCs w:val="24"/>
        </w:rPr>
        <w:t>.</w:t>
      </w:r>
      <w:r w:rsidR="009904F2">
        <w:rPr>
          <w:rFonts w:ascii="Arial" w:hAnsi="Arial" w:cs="Arial"/>
          <w:sz w:val="24"/>
          <w:szCs w:val="24"/>
        </w:rPr>
        <w:t xml:space="preserve"> Por su parte, los resultados obtenidos con relación los indicadores comportamentales y actitudinales, así como con la media general del síndrome de burnout, refieren un valor de t de 3.3, 3.3 y 3.4 respectivamente con 71 grados de libertad y un nivel de significación de .00.</w:t>
      </w:r>
    </w:p>
    <w:p w:rsidR="00FE4445" w:rsidRDefault="009904F2" w:rsidP="0075232B">
      <w:pPr>
        <w:autoSpaceDE w:val="0"/>
        <w:autoSpaceDN w:val="0"/>
        <w:adjustRightInd w:val="0"/>
        <w:spacing w:after="0" w:line="240" w:lineRule="auto"/>
        <w:rPr>
          <w:rFonts w:ascii="Arial" w:hAnsi="Arial" w:cs="Arial"/>
          <w:sz w:val="24"/>
          <w:szCs w:val="24"/>
        </w:rPr>
      </w:pPr>
      <w:r>
        <w:rPr>
          <w:rFonts w:ascii="Arial" w:hAnsi="Arial" w:cs="Arial"/>
          <w:sz w:val="24"/>
          <w:szCs w:val="24"/>
        </w:rPr>
        <w:tab/>
        <w:t>Estos resultados indican que, en todos los casos, una red social menor genera un mayor nivel de presencia del síndrome de burnout, en lo general, en sus dimensiones y en las características indagadas por la escala utilizada. A partir de estos resultados se puede afirmar que una red social mayor influye en que haya una menor presencia del síndrome de burnout.</w:t>
      </w:r>
    </w:p>
    <w:p w:rsidR="00C34E89" w:rsidRDefault="00C34E89" w:rsidP="00C34E89">
      <w:pPr>
        <w:autoSpaceDE w:val="0"/>
        <w:autoSpaceDN w:val="0"/>
        <w:adjustRightInd w:val="0"/>
        <w:spacing w:after="0" w:line="240" w:lineRule="auto"/>
        <w:rPr>
          <w:rFonts w:ascii="Arial" w:hAnsi="Arial" w:cs="Arial"/>
          <w:b/>
          <w:sz w:val="24"/>
          <w:szCs w:val="24"/>
        </w:rPr>
      </w:pPr>
    </w:p>
    <w:p w:rsidR="00C34E89" w:rsidRPr="009904F2" w:rsidRDefault="00C34E89" w:rsidP="00C34E89">
      <w:pPr>
        <w:autoSpaceDE w:val="0"/>
        <w:autoSpaceDN w:val="0"/>
        <w:adjustRightInd w:val="0"/>
        <w:spacing w:after="0" w:line="240" w:lineRule="auto"/>
        <w:rPr>
          <w:rFonts w:ascii="Arial" w:hAnsi="Arial" w:cs="Arial"/>
          <w:b/>
          <w:sz w:val="24"/>
          <w:szCs w:val="24"/>
        </w:rPr>
      </w:pPr>
      <w:r w:rsidRPr="009904F2">
        <w:rPr>
          <w:rFonts w:ascii="Arial" w:hAnsi="Arial" w:cs="Arial"/>
          <w:b/>
          <w:sz w:val="24"/>
          <w:szCs w:val="24"/>
        </w:rPr>
        <w:t>Comentarios</w:t>
      </w:r>
    </w:p>
    <w:p w:rsidR="00C34E89" w:rsidRPr="009904F2" w:rsidRDefault="00C34E89" w:rsidP="00C34E89">
      <w:pPr>
        <w:autoSpaceDE w:val="0"/>
        <w:autoSpaceDN w:val="0"/>
        <w:adjustRightInd w:val="0"/>
        <w:spacing w:after="0" w:line="240" w:lineRule="auto"/>
        <w:rPr>
          <w:rFonts w:ascii="Arial" w:hAnsi="Arial" w:cs="Arial"/>
          <w:sz w:val="24"/>
          <w:szCs w:val="24"/>
        </w:rPr>
      </w:pPr>
    </w:p>
    <w:p w:rsidR="00C34E89" w:rsidRDefault="00C34E89" w:rsidP="00C34E89">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Los resultados, anteriormente mencionados, abonan un elemento más a la discusión alrededor del modelo asumido, por lo que se reitera la necesidad de seguir indagando alrededor de esta relación siempre y cuando se cuiden dos aspectos centrales: </w:t>
      </w:r>
    </w:p>
    <w:p w:rsidR="009904F2" w:rsidRDefault="009904F2" w:rsidP="0075232B">
      <w:pPr>
        <w:autoSpaceDE w:val="0"/>
        <w:autoSpaceDN w:val="0"/>
        <w:adjustRightInd w:val="0"/>
        <w:spacing w:after="0" w:line="240" w:lineRule="auto"/>
        <w:rPr>
          <w:rFonts w:ascii="Arial" w:hAnsi="Arial" w:cs="Arial"/>
          <w:sz w:val="24"/>
          <w:szCs w:val="24"/>
        </w:rPr>
      </w:pPr>
    </w:p>
    <w:p w:rsidR="00154914" w:rsidRPr="005F12BA" w:rsidRDefault="006F52E2" w:rsidP="00154914">
      <w:pPr>
        <w:autoSpaceDE w:val="0"/>
        <w:autoSpaceDN w:val="0"/>
        <w:adjustRightInd w:val="0"/>
        <w:spacing w:after="0" w:line="240" w:lineRule="auto"/>
        <w:rPr>
          <w:rFonts w:ascii="Arial" w:hAnsi="Arial" w:cs="Arial"/>
          <w:sz w:val="24"/>
          <w:szCs w:val="24"/>
        </w:rPr>
      </w:pPr>
      <w:r>
        <w:rPr>
          <w:rFonts w:ascii="Arial" w:hAnsi="Arial" w:cs="Arial"/>
          <w:sz w:val="24"/>
          <w:szCs w:val="24"/>
        </w:rPr>
        <w:lastRenderedPageBreak/>
        <w:t>Tabla 2</w:t>
      </w:r>
    </w:p>
    <w:p w:rsidR="00154914" w:rsidRPr="005F12BA" w:rsidRDefault="00154914" w:rsidP="00154914">
      <w:pPr>
        <w:autoSpaceDE w:val="0"/>
        <w:autoSpaceDN w:val="0"/>
        <w:adjustRightInd w:val="0"/>
        <w:spacing w:after="0" w:line="240" w:lineRule="auto"/>
        <w:rPr>
          <w:rFonts w:ascii="Arial" w:hAnsi="Arial" w:cs="Arial"/>
          <w:i/>
          <w:sz w:val="24"/>
          <w:szCs w:val="24"/>
        </w:rPr>
      </w:pPr>
      <w:r w:rsidRPr="005F12BA">
        <w:rPr>
          <w:rFonts w:ascii="Arial" w:hAnsi="Arial" w:cs="Arial"/>
          <w:i/>
          <w:sz w:val="24"/>
          <w:szCs w:val="24"/>
        </w:rPr>
        <w:t>Resultados de</w:t>
      </w:r>
      <w:r>
        <w:rPr>
          <w:rFonts w:ascii="Arial" w:hAnsi="Arial" w:cs="Arial"/>
          <w:i/>
          <w:sz w:val="24"/>
          <w:szCs w:val="24"/>
        </w:rPr>
        <w:t xml:space="preserve">l análisis de diferencia de grupos entre la red de apoyo social, en lo general, </w:t>
      </w:r>
      <w:r w:rsidRPr="005F12BA">
        <w:rPr>
          <w:rFonts w:ascii="Arial" w:hAnsi="Arial" w:cs="Arial"/>
          <w:i/>
          <w:sz w:val="24"/>
          <w:szCs w:val="24"/>
        </w:rPr>
        <w:t>y los ítems de la escala</w:t>
      </w:r>
      <w:r>
        <w:rPr>
          <w:rFonts w:ascii="Arial" w:hAnsi="Arial" w:cs="Arial"/>
          <w:i/>
          <w:sz w:val="24"/>
          <w:szCs w:val="24"/>
        </w:rPr>
        <w:t xml:space="preserve"> utilizada</w:t>
      </w:r>
    </w:p>
    <w:tbl>
      <w:tblPr>
        <w:tblW w:w="3023" w:type="dxa"/>
        <w:tblLayout w:type="fixed"/>
        <w:tblCellMar>
          <w:left w:w="0" w:type="dxa"/>
          <w:right w:w="0" w:type="dxa"/>
        </w:tblCellMar>
        <w:tblLook w:val="0000" w:firstRow="0" w:lastRow="0" w:firstColumn="0" w:lastColumn="0" w:noHBand="0" w:noVBand="0"/>
      </w:tblPr>
      <w:tblGrid>
        <w:gridCol w:w="1586"/>
        <w:gridCol w:w="1437"/>
      </w:tblGrid>
      <w:tr w:rsidR="006F52E2" w:rsidRPr="00154914" w:rsidTr="006F52E2">
        <w:trPr>
          <w:cantSplit/>
          <w:tblHeader/>
        </w:trPr>
        <w:tc>
          <w:tcPr>
            <w:tcW w:w="1586" w:type="dxa"/>
            <w:tcBorders>
              <w:top w:val="single" w:sz="4" w:space="0" w:color="auto"/>
              <w:bottom w:val="single" w:sz="4" w:space="0" w:color="auto"/>
            </w:tcBorders>
            <w:shd w:val="clear" w:color="auto" w:fill="FFFFFF"/>
          </w:tcPr>
          <w:p w:rsidR="006F52E2" w:rsidRPr="00154914" w:rsidRDefault="006F52E2" w:rsidP="00154914">
            <w:pPr>
              <w:autoSpaceDE w:val="0"/>
              <w:autoSpaceDN w:val="0"/>
              <w:adjustRightInd w:val="0"/>
              <w:spacing w:after="0" w:line="320" w:lineRule="atLeast"/>
              <w:ind w:left="60" w:right="60"/>
              <w:jc w:val="center"/>
              <w:rPr>
                <w:rFonts w:ascii="Arial" w:hAnsi="Arial" w:cs="Arial"/>
                <w:b/>
                <w:color w:val="000000"/>
                <w:sz w:val="20"/>
                <w:szCs w:val="20"/>
              </w:rPr>
            </w:pPr>
            <w:r w:rsidRPr="00154914">
              <w:rPr>
                <w:rFonts w:ascii="Arial" w:hAnsi="Arial" w:cs="Arial"/>
                <w:b/>
                <w:color w:val="000000"/>
                <w:sz w:val="20"/>
                <w:szCs w:val="20"/>
              </w:rPr>
              <w:t>Ítems</w:t>
            </w:r>
          </w:p>
        </w:tc>
        <w:tc>
          <w:tcPr>
            <w:tcW w:w="1437" w:type="dxa"/>
            <w:tcBorders>
              <w:top w:val="single" w:sz="4" w:space="0" w:color="auto"/>
              <w:bottom w:val="single" w:sz="4" w:space="0" w:color="auto"/>
            </w:tcBorders>
            <w:shd w:val="clear" w:color="auto" w:fill="FFFFFF"/>
          </w:tcPr>
          <w:p w:rsidR="006F52E2" w:rsidRPr="00154914" w:rsidRDefault="006F52E2" w:rsidP="00154914">
            <w:pPr>
              <w:autoSpaceDE w:val="0"/>
              <w:autoSpaceDN w:val="0"/>
              <w:adjustRightInd w:val="0"/>
              <w:spacing w:after="0" w:line="320" w:lineRule="atLeast"/>
              <w:ind w:left="60" w:right="60"/>
              <w:jc w:val="center"/>
              <w:rPr>
                <w:rFonts w:ascii="Arial" w:hAnsi="Arial" w:cs="Arial"/>
                <w:b/>
                <w:color w:val="000000"/>
                <w:sz w:val="20"/>
                <w:szCs w:val="20"/>
              </w:rPr>
            </w:pPr>
            <w:r w:rsidRPr="00154914">
              <w:rPr>
                <w:rFonts w:ascii="Arial" w:hAnsi="Arial" w:cs="Arial"/>
                <w:b/>
                <w:color w:val="000000"/>
                <w:sz w:val="20"/>
                <w:szCs w:val="20"/>
              </w:rPr>
              <w:t>Sig.</w:t>
            </w:r>
          </w:p>
        </w:tc>
      </w:tr>
      <w:tr w:rsidR="006F52E2" w:rsidRPr="00154914" w:rsidTr="006F52E2">
        <w:trPr>
          <w:cantSplit/>
          <w:tblHeader/>
        </w:trPr>
        <w:tc>
          <w:tcPr>
            <w:tcW w:w="1586" w:type="dxa"/>
            <w:tcBorders>
              <w:top w:val="single" w:sz="4" w:space="0" w:color="auto"/>
            </w:tcBorders>
            <w:shd w:val="clear" w:color="auto" w:fill="FFFFFF"/>
          </w:tcPr>
          <w:p w:rsidR="006F52E2" w:rsidRPr="00154914" w:rsidRDefault="006F52E2" w:rsidP="00154914">
            <w:pPr>
              <w:autoSpaceDE w:val="0"/>
              <w:autoSpaceDN w:val="0"/>
              <w:adjustRightInd w:val="0"/>
              <w:spacing w:after="0" w:line="320" w:lineRule="atLeast"/>
              <w:ind w:left="60" w:right="60"/>
              <w:jc w:val="center"/>
              <w:rPr>
                <w:rFonts w:ascii="Arial" w:hAnsi="Arial" w:cs="Arial"/>
                <w:b/>
                <w:color w:val="000000"/>
                <w:sz w:val="20"/>
                <w:szCs w:val="20"/>
              </w:rPr>
            </w:pPr>
            <w:r w:rsidRPr="00154914">
              <w:rPr>
                <w:rFonts w:ascii="Arial" w:hAnsi="Arial" w:cs="Arial"/>
                <w:b/>
                <w:color w:val="000000"/>
                <w:sz w:val="20"/>
                <w:szCs w:val="20"/>
              </w:rPr>
              <w:t>uno</w:t>
            </w:r>
          </w:p>
        </w:tc>
        <w:tc>
          <w:tcPr>
            <w:tcW w:w="1437" w:type="dxa"/>
            <w:tcBorders>
              <w:top w:val="single" w:sz="4" w:space="0" w:color="auto"/>
            </w:tcBorders>
            <w:shd w:val="clear" w:color="auto" w:fill="FFFFFF"/>
          </w:tcPr>
          <w:p w:rsidR="006F52E2" w:rsidRPr="00154914" w:rsidRDefault="006F52E2" w:rsidP="00154914">
            <w:pPr>
              <w:autoSpaceDE w:val="0"/>
              <w:autoSpaceDN w:val="0"/>
              <w:adjustRightInd w:val="0"/>
              <w:spacing w:after="0" w:line="320" w:lineRule="atLeast"/>
              <w:ind w:left="60" w:right="60"/>
              <w:jc w:val="center"/>
              <w:rPr>
                <w:rFonts w:ascii="Arial" w:hAnsi="Arial" w:cs="Arial"/>
                <w:b/>
                <w:color w:val="000000"/>
                <w:sz w:val="20"/>
                <w:szCs w:val="20"/>
              </w:rPr>
            </w:pPr>
            <w:r w:rsidRPr="00154914">
              <w:rPr>
                <w:rFonts w:ascii="Arial" w:hAnsi="Arial" w:cs="Arial"/>
                <w:b/>
                <w:color w:val="000000"/>
                <w:sz w:val="20"/>
                <w:szCs w:val="20"/>
              </w:rPr>
              <w:t>.043</w:t>
            </w:r>
          </w:p>
        </w:tc>
      </w:tr>
      <w:tr w:rsidR="006F52E2" w:rsidRPr="00154914" w:rsidTr="006F52E2">
        <w:trPr>
          <w:cantSplit/>
          <w:tblHeader/>
        </w:trPr>
        <w:tc>
          <w:tcPr>
            <w:tcW w:w="1586" w:type="dxa"/>
            <w:shd w:val="clear" w:color="auto" w:fill="FFFFFF"/>
          </w:tcPr>
          <w:p w:rsidR="006F52E2" w:rsidRPr="00154914" w:rsidRDefault="006F52E2" w:rsidP="00154914">
            <w:pPr>
              <w:autoSpaceDE w:val="0"/>
              <w:autoSpaceDN w:val="0"/>
              <w:adjustRightInd w:val="0"/>
              <w:spacing w:after="0" w:line="320" w:lineRule="atLeast"/>
              <w:ind w:left="60" w:right="60"/>
              <w:jc w:val="center"/>
              <w:rPr>
                <w:rFonts w:ascii="Arial" w:hAnsi="Arial" w:cs="Arial"/>
                <w:b/>
                <w:color w:val="000000"/>
                <w:sz w:val="20"/>
                <w:szCs w:val="20"/>
              </w:rPr>
            </w:pPr>
            <w:r w:rsidRPr="00154914">
              <w:rPr>
                <w:rFonts w:ascii="Arial" w:hAnsi="Arial" w:cs="Arial"/>
                <w:b/>
                <w:color w:val="000000"/>
                <w:sz w:val="20"/>
                <w:szCs w:val="20"/>
              </w:rPr>
              <w:t>dos</w:t>
            </w:r>
          </w:p>
        </w:tc>
        <w:tc>
          <w:tcPr>
            <w:tcW w:w="1437" w:type="dxa"/>
            <w:shd w:val="clear" w:color="auto" w:fill="FFFFFF"/>
          </w:tcPr>
          <w:p w:rsidR="006F52E2" w:rsidRPr="00154914" w:rsidRDefault="006F52E2" w:rsidP="00154914">
            <w:pPr>
              <w:autoSpaceDE w:val="0"/>
              <w:autoSpaceDN w:val="0"/>
              <w:adjustRightInd w:val="0"/>
              <w:spacing w:after="0" w:line="320" w:lineRule="atLeast"/>
              <w:ind w:left="60" w:right="60"/>
              <w:jc w:val="center"/>
              <w:rPr>
                <w:rFonts w:ascii="Arial" w:hAnsi="Arial" w:cs="Arial"/>
                <w:b/>
                <w:color w:val="000000"/>
                <w:sz w:val="20"/>
                <w:szCs w:val="20"/>
              </w:rPr>
            </w:pPr>
            <w:r w:rsidRPr="00154914">
              <w:rPr>
                <w:rFonts w:ascii="Arial" w:hAnsi="Arial" w:cs="Arial"/>
                <w:b/>
                <w:color w:val="000000"/>
                <w:sz w:val="20"/>
                <w:szCs w:val="20"/>
              </w:rPr>
              <w:t>.012</w:t>
            </w:r>
          </w:p>
        </w:tc>
      </w:tr>
      <w:tr w:rsidR="006F52E2" w:rsidRPr="00154914" w:rsidTr="006F52E2">
        <w:trPr>
          <w:cantSplit/>
          <w:tblHeader/>
        </w:trPr>
        <w:tc>
          <w:tcPr>
            <w:tcW w:w="1586" w:type="dxa"/>
            <w:shd w:val="clear" w:color="auto" w:fill="FFFFFF"/>
          </w:tcPr>
          <w:p w:rsidR="006F52E2" w:rsidRPr="00154914" w:rsidRDefault="006F52E2" w:rsidP="00154914">
            <w:pPr>
              <w:autoSpaceDE w:val="0"/>
              <w:autoSpaceDN w:val="0"/>
              <w:adjustRightInd w:val="0"/>
              <w:spacing w:after="0" w:line="320" w:lineRule="atLeast"/>
              <w:ind w:left="60" w:right="60"/>
              <w:jc w:val="center"/>
              <w:rPr>
                <w:rFonts w:ascii="Arial" w:hAnsi="Arial" w:cs="Arial"/>
                <w:color w:val="000000"/>
                <w:sz w:val="20"/>
                <w:szCs w:val="20"/>
              </w:rPr>
            </w:pPr>
            <w:r w:rsidRPr="00154914">
              <w:rPr>
                <w:rFonts w:ascii="Arial" w:hAnsi="Arial" w:cs="Arial"/>
                <w:color w:val="000000"/>
                <w:sz w:val="20"/>
                <w:szCs w:val="20"/>
              </w:rPr>
              <w:t>tres</w:t>
            </w:r>
          </w:p>
        </w:tc>
        <w:tc>
          <w:tcPr>
            <w:tcW w:w="1437" w:type="dxa"/>
            <w:shd w:val="clear" w:color="auto" w:fill="FFFFFF"/>
          </w:tcPr>
          <w:p w:rsidR="006F52E2" w:rsidRPr="00154914" w:rsidRDefault="006F52E2" w:rsidP="00154914">
            <w:pPr>
              <w:autoSpaceDE w:val="0"/>
              <w:autoSpaceDN w:val="0"/>
              <w:adjustRightInd w:val="0"/>
              <w:spacing w:after="0" w:line="320" w:lineRule="atLeast"/>
              <w:ind w:left="60" w:right="60"/>
              <w:jc w:val="center"/>
              <w:rPr>
                <w:rFonts w:ascii="Arial" w:hAnsi="Arial" w:cs="Arial"/>
                <w:color w:val="000000"/>
                <w:sz w:val="20"/>
                <w:szCs w:val="20"/>
              </w:rPr>
            </w:pPr>
            <w:r w:rsidRPr="00154914">
              <w:rPr>
                <w:rFonts w:ascii="Arial" w:hAnsi="Arial" w:cs="Arial"/>
                <w:color w:val="000000"/>
                <w:sz w:val="20"/>
                <w:szCs w:val="20"/>
              </w:rPr>
              <w:t>.051</w:t>
            </w:r>
          </w:p>
        </w:tc>
      </w:tr>
      <w:tr w:rsidR="006F52E2" w:rsidRPr="00154914" w:rsidTr="006F52E2">
        <w:trPr>
          <w:cantSplit/>
          <w:tblHeader/>
        </w:trPr>
        <w:tc>
          <w:tcPr>
            <w:tcW w:w="1586" w:type="dxa"/>
            <w:shd w:val="clear" w:color="auto" w:fill="FFFFFF"/>
          </w:tcPr>
          <w:p w:rsidR="006F52E2" w:rsidRPr="00154914" w:rsidRDefault="006F52E2" w:rsidP="00154914">
            <w:pPr>
              <w:autoSpaceDE w:val="0"/>
              <w:autoSpaceDN w:val="0"/>
              <w:adjustRightInd w:val="0"/>
              <w:spacing w:after="0" w:line="320" w:lineRule="atLeast"/>
              <w:ind w:left="60" w:right="60"/>
              <w:jc w:val="center"/>
              <w:rPr>
                <w:rFonts w:ascii="Arial" w:hAnsi="Arial" w:cs="Arial"/>
                <w:b/>
                <w:color w:val="000000"/>
                <w:sz w:val="20"/>
                <w:szCs w:val="20"/>
              </w:rPr>
            </w:pPr>
            <w:r w:rsidRPr="00154914">
              <w:rPr>
                <w:rFonts w:ascii="Arial" w:hAnsi="Arial" w:cs="Arial"/>
                <w:b/>
                <w:color w:val="000000"/>
                <w:sz w:val="20"/>
                <w:szCs w:val="20"/>
              </w:rPr>
              <w:t>cuatro</w:t>
            </w:r>
          </w:p>
        </w:tc>
        <w:tc>
          <w:tcPr>
            <w:tcW w:w="1437" w:type="dxa"/>
            <w:shd w:val="clear" w:color="auto" w:fill="FFFFFF"/>
          </w:tcPr>
          <w:p w:rsidR="006F52E2" w:rsidRPr="00154914" w:rsidRDefault="006F52E2" w:rsidP="00154914">
            <w:pPr>
              <w:autoSpaceDE w:val="0"/>
              <w:autoSpaceDN w:val="0"/>
              <w:adjustRightInd w:val="0"/>
              <w:spacing w:after="0" w:line="320" w:lineRule="atLeast"/>
              <w:ind w:left="60" w:right="60"/>
              <w:jc w:val="center"/>
              <w:rPr>
                <w:rFonts w:ascii="Arial" w:hAnsi="Arial" w:cs="Arial"/>
                <w:b/>
                <w:color w:val="000000"/>
                <w:sz w:val="20"/>
                <w:szCs w:val="20"/>
              </w:rPr>
            </w:pPr>
            <w:r w:rsidRPr="00154914">
              <w:rPr>
                <w:rFonts w:ascii="Arial" w:hAnsi="Arial" w:cs="Arial"/>
                <w:b/>
                <w:color w:val="000000"/>
                <w:sz w:val="20"/>
                <w:szCs w:val="20"/>
              </w:rPr>
              <w:t>.010</w:t>
            </w:r>
          </w:p>
        </w:tc>
      </w:tr>
      <w:tr w:rsidR="006F52E2" w:rsidRPr="00154914" w:rsidTr="006F52E2">
        <w:trPr>
          <w:cantSplit/>
          <w:tblHeader/>
        </w:trPr>
        <w:tc>
          <w:tcPr>
            <w:tcW w:w="1586" w:type="dxa"/>
            <w:shd w:val="clear" w:color="auto" w:fill="FFFFFF"/>
          </w:tcPr>
          <w:p w:rsidR="006F52E2" w:rsidRPr="00154914" w:rsidRDefault="006F52E2" w:rsidP="00154914">
            <w:pPr>
              <w:autoSpaceDE w:val="0"/>
              <w:autoSpaceDN w:val="0"/>
              <w:adjustRightInd w:val="0"/>
              <w:spacing w:after="0" w:line="320" w:lineRule="atLeast"/>
              <w:ind w:left="60" w:right="60"/>
              <w:jc w:val="center"/>
              <w:rPr>
                <w:rFonts w:ascii="Arial" w:hAnsi="Arial" w:cs="Arial"/>
                <w:b/>
                <w:color w:val="000000"/>
                <w:sz w:val="20"/>
                <w:szCs w:val="20"/>
              </w:rPr>
            </w:pPr>
            <w:r w:rsidRPr="00154914">
              <w:rPr>
                <w:rFonts w:ascii="Arial" w:hAnsi="Arial" w:cs="Arial"/>
                <w:b/>
                <w:color w:val="000000"/>
                <w:sz w:val="20"/>
                <w:szCs w:val="20"/>
              </w:rPr>
              <w:t>cinco</w:t>
            </w:r>
          </w:p>
        </w:tc>
        <w:tc>
          <w:tcPr>
            <w:tcW w:w="1437" w:type="dxa"/>
            <w:shd w:val="clear" w:color="auto" w:fill="FFFFFF"/>
          </w:tcPr>
          <w:p w:rsidR="006F52E2" w:rsidRPr="00154914" w:rsidRDefault="006F52E2" w:rsidP="00154914">
            <w:pPr>
              <w:autoSpaceDE w:val="0"/>
              <w:autoSpaceDN w:val="0"/>
              <w:adjustRightInd w:val="0"/>
              <w:spacing w:after="0" w:line="320" w:lineRule="atLeast"/>
              <w:ind w:left="60" w:right="60"/>
              <w:jc w:val="center"/>
              <w:rPr>
                <w:rFonts w:ascii="Arial" w:hAnsi="Arial" w:cs="Arial"/>
                <w:b/>
                <w:color w:val="000000"/>
                <w:sz w:val="20"/>
                <w:szCs w:val="20"/>
              </w:rPr>
            </w:pPr>
            <w:r w:rsidRPr="00154914">
              <w:rPr>
                <w:rFonts w:ascii="Arial" w:hAnsi="Arial" w:cs="Arial"/>
                <w:b/>
                <w:color w:val="000000"/>
                <w:sz w:val="20"/>
                <w:szCs w:val="20"/>
              </w:rPr>
              <w:t>.013</w:t>
            </w:r>
          </w:p>
        </w:tc>
      </w:tr>
      <w:tr w:rsidR="006F52E2" w:rsidRPr="00154914" w:rsidTr="006F52E2">
        <w:trPr>
          <w:cantSplit/>
          <w:tblHeader/>
        </w:trPr>
        <w:tc>
          <w:tcPr>
            <w:tcW w:w="1586" w:type="dxa"/>
            <w:shd w:val="clear" w:color="auto" w:fill="FFFFFF"/>
          </w:tcPr>
          <w:p w:rsidR="006F52E2" w:rsidRPr="00154914" w:rsidRDefault="006F52E2" w:rsidP="00154914">
            <w:pPr>
              <w:autoSpaceDE w:val="0"/>
              <w:autoSpaceDN w:val="0"/>
              <w:adjustRightInd w:val="0"/>
              <w:spacing w:after="0" w:line="320" w:lineRule="atLeast"/>
              <w:ind w:left="60" w:right="60"/>
              <w:jc w:val="center"/>
              <w:rPr>
                <w:rFonts w:ascii="Arial" w:hAnsi="Arial" w:cs="Arial"/>
                <w:b/>
                <w:color w:val="000000"/>
                <w:sz w:val="20"/>
                <w:szCs w:val="20"/>
              </w:rPr>
            </w:pPr>
            <w:r w:rsidRPr="00154914">
              <w:rPr>
                <w:rFonts w:ascii="Arial" w:hAnsi="Arial" w:cs="Arial"/>
                <w:b/>
                <w:color w:val="000000"/>
                <w:sz w:val="20"/>
                <w:szCs w:val="20"/>
              </w:rPr>
              <w:t>seis</w:t>
            </w:r>
          </w:p>
        </w:tc>
        <w:tc>
          <w:tcPr>
            <w:tcW w:w="1437" w:type="dxa"/>
            <w:shd w:val="clear" w:color="auto" w:fill="FFFFFF"/>
          </w:tcPr>
          <w:p w:rsidR="006F52E2" w:rsidRPr="00154914" w:rsidRDefault="006F52E2" w:rsidP="00154914">
            <w:pPr>
              <w:autoSpaceDE w:val="0"/>
              <w:autoSpaceDN w:val="0"/>
              <w:adjustRightInd w:val="0"/>
              <w:spacing w:after="0" w:line="320" w:lineRule="atLeast"/>
              <w:ind w:left="60" w:right="60"/>
              <w:jc w:val="center"/>
              <w:rPr>
                <w:rFonts w:ascii="Arial" w:hAnsi="Arial" w:cs="Arial"/>
                <w:b/>
                <w:color w:val="000000"/>
                <w:sz w:val="20"/>
                <w:szCs w:val="20"/>
              </w:rPr>
            </w:pPr>
            <w:r w:rsidRPr="00154914">
              <w:rPr>
                <w:rFonts w:ascii="Arial" w:hAnsi="Arial" w:cs="Arial"/>
                <w:b/>
                <w:color w:val="000000"/>
                <w:sz w:val="20"/>
                <w:szCs w:val="20"/>
              </w:rPr>
              <w:t>.023</w:t>
            </w:r>
          </w:p>
        </w:tc>
      </w:tr>
      <w:tr w:rsidR="006F52E2" w:rsidRPr="00154914" w:rsidTr="006F52E2">
        <w:trPr>
          <w:cantSplit/>
          <w:tblHeader/>
        </w:trPr>
        <w:tc>
          <w:tcPr>
            <w:tcW w:w="1586" w:type="dxa"/>
            <w:shd w:val="clear" w:color="auto" w:fill="FFFFFF"/>
          </w:tcPr>
          <w:p w:rsidR="006F52E2" w:rsidRPr="00154914" w:rsidRDefault="006F52E2" w:rsidP="00154914">
            <w:pPr>
              <w:autoSpaceDE w:val="0"/>
              <w:autoSpaceDN w:val="0"/>
              <w:adjustRightInd w:val="0"/>
              <w:spacing w:after="0" w:line="320" w:lineRule="atLeast"/>
              <w:ind w:left="60" w:right="60"/>
              <w:jc w:val="center"/>
              <w:rPr>
                <w:rFonts w:ascii="Arial" w:hAnsi="Arial" w:cs="Arial"/>
                <w:b/>
                <w:color w:val="000000"/>
                <w:sz w:val="20"/>
                <w:szCs w:val="20"/>
              </w:rPr>
            </w:pPr>
            <w:r w:rsidRPr="00154914">
              <w:rPr>
                <w:rFonts w:ascii="Arial" w:hAnsi="Arial" w:cs="Arial"/>
                <w:b/>
                <w:color w:val="000000"/>
                <w:sz w:val="20"/>
                <w:szCs w:val="20"/>
              </w:rPr>
              <w:t>siete</w:t>
            </w:r>
          </w:p>
        </w:tc>
        <w:tc>
          <w:tcPr>
            <w:tcW w:w="1437" w:type="dxa"/>
            <w:shd w:val="clear" w:color="auto" w:fill="FFFFFF"/>
          </w:tcPr>
          <w:p w:rsidR="006F52E2" w:rsidRPr="00154914" w:rsidRDefault="006F52E2" w:rsidP="00154914">
            <w:pPr>
              <w:autoSpaceDE w:val="0"/>
              <w:autoSpaceDN w:val="0"/>
              <w:adjustRightInd w:val="0"/>
              <w:spacing w:after="0" w:line="320" w:lineRule="atLeast"/>
              <w:ind w:left="60" w:right="60"/>
              <w:jc w:val="center"/>
              <w:rPr>
                <w:rFonts w:ascii="Arial" w:hAnsi="Arial" w:cs="Arial"/>
                <w:b/>
                <w:color w:val="000000"/>
                <w:sz w:val="20"/>
                <w:szCs w:val="20"/>
              </w:rPr>
            </w:pPr>
            <w:r w:rsidRPr="00154914">
              <w:rPr>
                <w:rFonts w:ascii="Arial" w:hAnsi="Arial" w:cs="Arial"/>
                <w:b/>
                <w:color w:val="000000"/>
                <w:sz w:val="20"/>
                <w:szCs w:val="20"/>
              </w:rPr>
              <w:t>.025</w:t>
            </w:r>
          </w:p>
        </w:tc>
      </w:tr>
      <w:tr w:rsidR="006F52E2" w:rsidRPr="00154914" w:rsidTr="006F52E2">
        <w:trPr>
          <w:cantSplit/>
          <w:tblHeader/>
        </w:trPr>
        <w:tc>
          <w:tcPr>
            <w:tcW w:w="1586" w:type="dxa"/>
            <w:shd w:val="clear" w:color="auto" w:fill="FFFFFF"/>
          </w:tcPr>
          <w:p w:rsidR="006F52E2" w:rsidRPr="00154914" w:rsidRDefault="006F52E2" w:rsidP="00154914">
            <w:pPr>
              <w:autoSpaceDE w:val="0"/>
              <w:autoSpaceDN w:val="0"/>
              <w:adjustRightInd w:val="0"/>
              <w:spacing w:after="0" w:line="320" w:lineRule="atLeast"/>
              <w:ind w:left="60" w:right="60"/>
              <w:jc w:val="center"/>
              <w:rPr>
                <w:rFonts w:ascii="Arial" w:hAnsi="Arial" w:cs="Arial"/>
                <w:b/>
                <w:color w:val="000000"/>
                <w:sz w:val="20"/>
                <w:szCs w:val="20"/>
              </w:rPr>
            </w:pPr>
            <w:r w:rsidRPr="00154914">
              <w:rPr>
                <w:rFonts w:ascii="Arial" w:hAnsi="Arial" w:cs="Arial"/>
                <w:b/>
                <w:color w:val="000000"/>
                <w:sz w:val="20"/>
                <w:szCs w:val="20"/>
              </w:rPr>
              <w:t>ocho</w:t>
            </w:r>
          </w:p>
        </w:tc>
        <w:tc>
          <w:tcPr>
            <w:tcW w:w="1437" w:type="dxa"/>
            <w:shd w:val="clear" w:color="auto" w:fill="FFFFFF"/>
          </w:tcPr>
          <w:p w:rsidR="006F52E2" w:rsidRPr="00154914" w:rsidRDefault="006F52E2" w:rsidP="00154914">
            <w:pPr>
              <w:autoSpaceDE w:val="0"/>
              <w:autoSpaceDN w:val="0"/>
              <w:adjustRightInd w:val="0"/>
              <w:spacing w:after="0" w:line="320" w:lineRule="atLeast"/>
              <w:ind w:left="60" w:right="60"/>
              <w:jc w:val="center"/>
              <w:rPr>
                <w:rFonts w:ascii="Arial" w:hAnsi="Arial" w:cs="Arial"/>
                <w:b/>
                <w:color w:val="000000"/>
                <w:sz w:val="20"/>
                <w:szCs w:val="20"/>
              </w:rPr>
            </w:pPr>
            <w:r w:rsidRPr="00154914">
              <w:rPr>
                <w:rFonts w:ascii="Arial" w:hAnsi="Arial" w:cs="Arial"/>
                <w:b/>
                <w:color w:val="000000"/>
                <w:sz w:val="20"/>
                <w:szCs w:val="20"/>
              </w:rPr>
              <w:t>.008</w:t>
            </w:r>
          </w:p>
        </w:tc>
      </w:tr>
      <w:tr w:rsidR="006F52E2" w:rsidRPr="00154914" w:rsidTr="006F52E2">
        <w:trPr>
          <w:cantSplit/>
          <w:tblHeader/>
        </w:trPr>
        <w:tc>
          <w:tcPr>
            <w:tcW w:w="1586" w:type="dxa"/>
            <w:shd w:val="clear" w:color="auto" w:fill="FFFFFF"/>
          </w:tcPr>
          <w:p w:rsidR="006F52E2" w:rsidRPr="00154914" w:rsidRDefault="006F52E2" w:rsidP="00154914">
            <w:pPr>
              <w:autoSpaceDE w:val="0"/>
              <w:autoSpaceDN w:val="0"/>
              <w:adjustRightInd w:val="0"/>
              <w:spacing w:after="0" w:line="320" w:lineRule="atLeast"/>
              <w:ind w:left="60" w:right="60"/>
              <w:jc w:val="center"/>
              <w:rPr>
                <w:rFonts w:ascii="Arial" w:hAnsi="Arial" w:cs="Arial"/>
                <w:b/>
                <w:color w:val="000000"/>
                <w:sz w:val="20"/>
                <w:szCs w:val="20"/>
              </w:rPr>
            </w:pPr>
            <w:r w:rsidRPr="00154914">
              <w:rPr>
                <w:rFonts w:ascii="Arial" w:hAnsi="Arial" w:cs="Arial"/>
                <w:b/>
                <w:color w:val="000000"/>
                <w:sz w:val="20"/>
                <w:szCs w:val="20"/>
              </w:rPr>
              <w:t>nueve</w:t>
            </w:r>
          </w:p>
        </w:tc>
        <w:tc>
          <w:tcPr>
            <w:tcW w:w="1437" w:type="dxa"/>
            <w:shd w:val="clear" w:color="auto" w:fill="FFFFFF"/>
          </w:tcPr>
          <w:p w:rsidR="006F52E2" w:rsidRPr="00154914" w:rsidRDefault="006F52E2" w:rsidP="00154914">
            <w:pPr>
              <w:autoSpaceDE w:val="0"/>
              <w:autoSpaceDN w:val="0"/>
              <w:adjustRightInd w:val="0"/>
              <w:spacing w:after="0" w:line="320" w:lineRule="atLeast"/>
              <w:ind w:left="60" w:right="60"/>
              <w:jc w:val="center"/>
              <w:rPr>
                <w:rFonts w:ascii="Arial" w:hAnsi="Arial" w:cs="Arial"/>
                <w:b/>
                <w:color w:val="000000"/>
                <w:sz w:val="20"/>
                <w:szCs w:val="20"/>
              </w:rPr>
            </w:pPr>
            <w:r w:rsidRPr="00154914">
              <w:rPr>
                <w:rFonts w:ascii="Arial" w:hAnsi="Arial" w:cs="Arial"/>
                <w:b/>
                <w:color w:val="000000"/>
                <w:sz w:val="20"/>
                <w:szCs w:val="20"/>
              </w:rPr>
              <w:t>.020</w:t>
            </w:r>
          </w:p>
        </w:tc>
      </w:tr>
      <w:tr w:rsidR="006F52E2" w:rsidRPr="00154914" w:rsidTr="006F52E2">
        <w:trPr>
          <w:cantSplit/>
          <w:tblHeader/>
        </w:trPr>
        <w:tc>
          <w:tcPr>
            <w:tcW w:w="1586" w:type="dxa"/>
            <w:shd w:val="clear" w:color="auto" w:fill="FFFFFF"/>
          </w:tcPr>
          <w:p w:rsidR="006F52E2" w:rsidRPr="00154914" w:rsidRDefault="006F52E2" w:rsidP="00154914">
            <w:pPr>
              <w:autoSpaceDE w:val="0"/>
              <w:autoSpaceDN w:val="0"/>
              <w:adjustRightInd w:val="0"/>
              <w:spacing w:after="0" w:line="320" w:lineRule="atLeast"/>
              <w:ind w:left="60" w:right="60"/>
              <w:jc w:val="center"/>
              <w:rPr>
                <w:rFonts w:ascii="Arial" w:hAnsi="Arial" w:cs="Arial"/>
                <w:b/>
                <w:color w:val="000000"/>
                <w:sz w:val="20"/>
                <w:szCs w:val="20"/>
              </w:rPr>
            </w:pPr>
            <w:r w:rsidRPr="00154914">
              <w:rPr>
                <w:rFonts w:ascii="Arial" w:hAnsi="Arial" w:cs="Arial"/>
                <w:b/>
                <w:color w:val="000000"/>
                <w:sz w:val="20"/>
                <w:szCs w:val="20"/>
              </w:rPr>
              <w:t>diez</w:t>
            </w:r>
          </w:p>
        </w:tc>
        <w:tc>
          <w:tcPr>
            <w:tcW w:w="1437" w:type="dxa"/>
            <w:shd w:val="clear" w:color="auto" w:fill="FFFFFF"/>
          </w:tcPr>
          <w:p w:rsidR="006F52E2" w:rsidRPr="00154914" w:rsidRDefault="006F52E2" w:rsidP="00154914">
            <w:pPr>
              <w:autoSpaceDE w:val="0"/>
              <w:autoSpaceDN w:val="0"/>
              <w:adjustRightInd w:val="0"/>
              <w:spacing w:after="0" w:line="320" w:lineRule="atLeast"/>
              <w:ind w:left="60" w:right="60"/>
              <w:jc w:val="center"/>
              <w:rPr>
                <w:rFonts w:ascii="Arial" w:hAnsi="Arial" w:cs="Arial"/>
                <w:b/>
                <w:color w:val="000000"/>
                <w:sz w:val="20"/>
                <w:szCs w:val="20"/>
              </w:rPr>
            </w:pPr>
            <w:r w:rsidRPr="00154914">
              <w:rPr>
                <w:rFonts w:ascii="Arial" w:hAnsi="Arial" w:cs="Arial"/>
                <w:b/>
                <w:color w:val="000000"/>
                <w:sz w:val="20"/>
                <w:szCs w:val="20"/>
              </w:rPr>
              <w:t>.003</w:t>
            </w:r>
          </w:p>
        </w:tc>
      </w:tr>
      <w:tr w:rsidR="006F52E2" w:rsidRPr="00154914" w:rsidTr="006F52E2">
        <w:trPr>
          <w:cantSplit/>
          <w:tblHeader/>
        </w:trPr>
        <w:tc>
          <w:tcPr>
            <w:tcW w:w="1586" w:type="dxa"/>
            <w:shd w:val="clear" w:color="auto" w:fill="FFFFFF"/>
          </w:tcPr>
          <w:p w:rsidR="006F52E2" w:rsidRPr="00154914" w:rsidRDefault="006F52E2" w:rsidP="00154914">
            <w:pPr>
              <w:autoSpaceDE w:val="0"/>
              <w:autoSpaceDN w:val="0"/>
              <w:adjustRightInd w:val="0"/>
              <w:spacing w:after="0" w:line="320" w:lineRule="atLeast"/>
              <w:ind w:left="60" w:right="60"/>
              <w:jc w:val="center"/>
              <w:rPr>
                <w:rFonts w:ascii="Arial" w:hAnsi="Arial" w:cs="Arial"/>
                <w:b/>
                <w:color w:val="000000"/>
                <w:sz w:val="20"/>
                <w:szCs w:val="20"/>
              </w:rPr>
            </w:pPr>
            <w:r w:rsidRPr="00154914">
              <w:rPr>
                <w:rFonts w:ascii="Arial" w:hAnsi="Arial" w:cs="Arial"/>
                <w:b/>
                <w:color w:val="000000"/>
                <w:sz w:val="20"/>
                <w:szCs w:val="20"/>
              </w:rPr>
              <w:t>once</w:t>
            </w:r>
          </w:p>
        </w:tc>
        <w:tc>
          <w:tcPr>
            <w:tcW w:w="1437" w:type="dxa"/>
            <w:shd w:val="clear" w:color="auto" w:fill="FFFFFF"/>
          </w:tcPr>
          <w:p w:rsidR="006F52E2" w:rsidRPr="00154914" w:rsidRDefault="006F52E2" w:rsidP="00154914">
            <w:pPr>
              <w:autoSpaceDE w:val="0"/>
              <w:autoSpaceDN w:val="0"/>
              <w:adjustRightInd w:val="0"/>
              <w:spacing w:after="0" w:line="320" w:lineRule="atLeast"/>
              <w:ind w:left="60" w:right="60"/>
              <w:jc w:val="center"/>
              <w:rPr>
                <w:rFonts w:ascii="Arial" w:hAnsi="Arial" w:cs="Arial"/>
                <w:b/>
                <w:color w:val="000000"/>
                <w:sz w:val="20"/>
                <w:szCs w:val="20"/>
              </w:rPr>
            </w:pPr>
            <w:r w:rsidRPr="00154914">
              <w:rPr>
                <w:rFonts w:ascii="Arial" w:hAnsi="Arial" w:cs="Arial"/>
                <w:b/>
                <w:color w:val="000000"/>
                <w:sz w:val="20"/>
                <w:szCs w:val="20"/>
              </w:rPr>
              <w:t>.003</w:t>
            </w:r>
          </w:p>
        </w:tc>
      </w:tr>
      <w:tr w:rsidR="006F52E2" w:rsidRPr="00154914" w:rsidTr="006F52E2">
        <w:trPr>
          <w:cantSplit/>
          <w:tblHeader/>
        </w:trPr>
        <w:tc>
          <w:tcPr>
            <w:tcW w:w="1586" w:type="dxa"/>
            <w:shd w:val="clear" w:color="auto" w:fill="FFFFFF"/>
          </w:tcPr>
          <w:p w:rsidR="006F52E2" w:rsidRPr="00154914" w:rsidRDefault="006F52E2" w:rsidP="00154914">
            <w:pPr>
              <w:autoSpaceDE w:val="0"/>
              <w:autoSpaceDN w:val="0"/>
              <w:adjustRightInd w:val="0"/>
              <w:spacing w:after="0" w:line="320" w:lineRule="atLeast"/>
              <w:ind w:left="60" w:right="60"/>
              <w:jc w:val="center"/>
              <w:rPr>
                <w:rFonts w:ascii="Arial" w:hAnsi="Arial" w:cs="Arial"/>
                <w:b/>
                <w:color w:val="000000"/>
                <w:sz w:val="20"/>
                <w:szCs w:val="20"/>
              </w:rPr>
            </w:pPr>
            <w:r w:rsidRPr="00154914">
              <w:rPr>
                <w:rFonts w:ascii="Arial" w:hAnsi="Arial" w:cs="Arial"/>
                <w:b/>
                <w:color w:val="000000"/>
                <w:sz w:val="20"/>
                <w:szCs w:val="20"/>
              </w:rPr>
              <w:t>doce</w:t>
            </w:r>
          </w:p>
        </w:tc>
        <w:tc>
          <w:tcPr>
            <w:tcW w:w="1437" w:type="dxa"/>
            <w:shd w:val="clear" w:color="auto" w:fill="FFFFFF"/>
          </w:tcPr>
          <w:p w:rsidR="006F52E2" w:rsidRPr="00154914" w:rsidRDefault="006F52E2" w:rsidP="00154914">
            <w:pPr>
              <w:autoSpaceDE w:val="0"/>
              <w:autoSpaceDN w:val="0"/>
              <w:adjustRightInd w:val="0"/>
              <w:spacing w:after="0" w:line="320" w:lineRule="atLeast"/>
              <w:ind w:left="60" w:right="60"/>
              <w:jc w:val="center"/>
              <w:rPr>
                <w:rFonts w:ascii="Arial" w:hAnsi="Arial" w:cs="Arial"/>
                <w:b/>
                <w:color w:val="000000"/>
                <w:sz w:val="20"/>
                <w:szCs w:val="20"/>
              </w:rPr>
            </w:pPr>
            <w:r w:rsidRPr="00154914">
              <w:rPr>
                <w:rFonts w:ascii="Arial" w:hAnsi="Arial" w:cs="Arial"/>
                <w:b/>
                <w:color w:val="000000"/>
                <w:sz w:val="20"/>
                <w:szCs w:val="20"/>
              </w:rPr>
              <w:t>.001</w:t>
            </w:r>
          </w:p>
        </w:tc>
      </w:tr>
      <w:tr w:rsidR="006F52E2" w:rsidRPr="00154914" w:rsidTr="006F52E2">
        <w:trPr>
          <w:cantSplit/>
          <w:tblHeader/>
        </w:trPr>
        <w:tc>
          <w:tcPr>
            <w:tcW w:w="1586" w:type="dxa"/>
            <w:shd w:val="clear" w:color="auto" w:fill="FFFFFF"/>
          </w:tcPr>
          <w:p w:rsidR="006F52E2" w:rsidRPr="00154914" w:rsidRDefault="006F52E2" w:rsidP="00154914">
            <w:pPr>
              <w:autoSpaceDE w:val="0"/>
              <w:autoSpaceDN w:val="0"/>
              <w:adjustRightInd w:val="0"/>
              <w:spacing w:after="0" w:line="320" w:lineRule="atLeast"/>
              <w:ind w:left="60" w:right="60"/>
              <w:jc w:val="center"/>
              <w:rPr>
                <w:rFonts w:ascii="Arial" w:hAnsi="Arial" w:cs="Arial"/>
                <w:b/>
                <w:color w:val="000000"/>
                <w:sz w:val="20"/>
                <w:szCs w:val="20"/>
              </w:rPr>
            </w:pPr>
            <w:r w:rsidRPr="00154914">
              <w:rPr>
                <w:rFonts w:ascii="Arial" w:hAnsi="Arial" w:cs="Arial"/>
                <w:b/>
                <w:color w:val="000000"/>
                <w:sz w:val="20"/>
                <w:szCs w:val="20"/>
              </w:rPr>
              <w:t>trece</w:t>
            </w:r>
          </w:p>
        </w:tc>
        <w:tc>
          <w:tcPr>
            <w:tcW w:w="1437" w:type="dxa"/>
            <w:shd w:val="clear" w:color="auto" w:fill="FFFFFF"/>
          </w:tcPr>
          <w:p w:rsidR="006F52E2" w:rsidRPr="00154914" w:rsidRDefault="006F52E2" w:rsidP="00154914">
            <w:pPr>
              <w:autoSpaceDE w:val="0"/>
              <w:autoSpaceDN w:val="0"/>
              <w:adjustRightInd w:val="0"/>
              <w:spacing w:after="0" w:line="320" w:lineRule="atLeast"/>
              <w:ind w:left="60" w:right="60"/>
              <w:jc w:val="center"/>
              <w:rPr>
                <w:rFonts w:ascii="Arial" w:hAnsi="Arial" w:cs="Arial"/>
                <w:b/>
                <w:color w:val="000000"/>
                <w:sz w:val="20"/>
                <w:szCs w:val="20"/>
              </w:rPr>
            </w:pPr>
            <w:r w:rsidRPr="00154914">
              <w:rPr>
                <w:rFonts w:ascii="Arial" w:hAnsi="Arial" w:cs="Arial"/>
                <w:b/>
                <w:color w:val="000000"/>
                <w:sz w:val="20"/>
                <w:szCs w:val="20"/>
              </w:rPr>
              <w:t>.015</w:t>
            </w:r>
          </w:p>
        </w:tc>
      </w:tr>
      <w:tr w:rsidR="006F52E2" w:rsidRPr="00154914" w:rsidTr="006F52E2">
        <w:trPr>
          <w:cantSplit/>
          <w:tblHeader/>
        </w:trPr>
        <w:tc>
          <w:tcPr>
            <w:tcW w:w="1586" w:type="dxa"/>
            <w:shd w:val="clear" w:color="auto" w:fill="FFFFFF"/>
          </w:tcPr>
          <w:p w:rsidR="006F52E2" w:rsidRPr="00154914" w:rsidRDefault="006F52E2" w:rsidP="00154914">
            <w:pPr>
              <w:autoSpaceDE w:val="0"/>
              <w:autoSpaceDN w:val="0"/>
              <w:adjustRightInd w:val="0"/>
              <w:spacing w:after="0" w:line="320" w:lineRule="atLeast"/>
              <w:ind w:left="60" w:right="60"/>
              <w:jc w:val="center"/>
              <w:rPr>
                <w:rFonts w:ascii="Arial" w:hAnsi="Arial" w:cs="Arial"/>
                <w:color w:val="000000"/>
                <w:sz w:val="20"/>
                <w:szCs w:val="20"/>
              </w:rPr>
            </w:pPr>
            <w:r w:rsidRPr="00154914">
              <w:rPr>
                <w:rFonts w:ascii="Arial" w:hAnsi="Arial" w:cs="Arial"/>
                <w:color w:val="000000"/>
                <w:sz w:val="20"/>
                <w:szCs w:val="20"/>
              </w:rPr>
              <w:t>catorce</w:t>
            </w:r>
          </w:p>
        </w:tc>
        <w:tc>
          <w:tcPr>
            <w:tcW w:w="1437" w:type="dxa"/>
            <w:shd w:val="clear" w:color="auto" w:fill="FFFFFF"/>
          </w:tcPr>
          <w:p w:rsidR="006F52E2" w:rsidRPr="00154914" w:rsidRDefault="006F52E2" w:rsidP="00154914">
            <w:pPr>
              <w:autoSpaceDE w:val="0"/>
              <w:autoSpaceDN w:val="0"/>
              <w:adjustRightInd w:val="0"/>
              <w:spacing w:after="0" w:line="320" w:lineRule="atLeast"/>
              <w:ind w:left="60" w:right="60"/>
              <w:jc w:val="center"/>
              <w:rPr>
                <w:rFonts w:ascii="Arial" w:hAnsi="Arial" w:cs="Arial"/>
                <w:color w:val="000000"/>
                <w:sz w:val="20"/>
                <w:szCs w:val="20"/>
              </w:rPr>
            </w:pPr>
            <w:r w:rsidRPr="00154914">
              <w:rPr>
                <w:rFonts w:ascii="Arial" w:hAnsi="Arial" w:cs="Arial"/>
                <w:color w:val="000000"/>
                <w:sz w:val="20"/>
                <w:szCs w:val="20"/>
              </w:rPr>
              <w:t>.050</w:t>
            </w:r>
          </w:p>
        </w:tc>
      </w:tr>
      <w:tr w:rsidR="006F52E2" w:rsidRPr="00154914" w:rsidTr="006F52E2">
        <w:trPr>
          <w:cantSplit/>
          <w:tblHeader/>
        </w:trPr>
        <w:tc>
          <w:tcPr>
            <w:tcW w:w="1586" w:type="dxa"/>
            <w:tcBorders>
              <w:bottom w:val="single" w:sz="4" w:space="0" w:color="auto"/>
            </w:tcBorders>
            <w:shd w:val="clear" w:color="auto" w:fill="FFFFFF"/>
          </w:tcPr>
          <w:p w:rsidR="006F52E2" w:rsidRPr="00154914" w:rsidRDefault="006F52E2" w:rsidP="00154914">
            <w:pPr>
              <w:autoSpaceDE w:val="0"/>
              <w:autoSpaceDN w:val="0"/>
              <w:adjustRightInd w:val="0"/>
              <w:spacing w:after="0" w:line="320" w:lineRule="atLeast"/>
              <w:ind w:left="60" w:right="60"/>
              <w:jc w:val="center"/>
              <w:rPr>
                <w:rFonts w:ascii="Arial" w:hAnsi="Arial" w:cs="Arial"/>
                <w:b/>
                <w:color w:val="000000"/>
                <w:sz w:val="20"/>
                <w:szCs w:val="20"/>
              </w:rPr>
            </w:pPr>
            <w:r w:rsidRPr="00154914">
              <w:rPr>
                <w:rFonts w:ascii="Arial" w:hAnsi="Arial" w:cs="Arial"/>
                <w:b/>
                <w:color w:val="000000"/>
                <w:sz w:val="20"/>
                <w:szCs w:val="20"/>
              </w:rPr>
              <w:t>quince</w:t>
            </w:r>
          </w:p>
        </w:tc>
        <w:tc>
          <w:tcPr>
            <w:tcW w:w="1437" w:type="dxa"/>
            <w:tcBorders>
              <w:bottom w:val="single" w:sz="4" w:space="0" w:color="auto"/>
            </w:tcBorders>
            <w:shd w:val="clear" w:color="auto" w:fill="FFFFFF"/>
          </w:tcPr>
          <w:p w:rsidR="006F52E2" w:rsidRPr="00154914" w:rsidRDefault="006F52E2" w:rsidP="00154914">
            <w:pPr>
              <w:autoSpaceDE w:val="0"/>
              <w:autoSpaceDN w:val="0"/>
              <w:adjustRightInd w:val="0"/>
              <w:spacing w:after="0" w:line="320" w:lineRule="atLeast"/>
              <w:ind w:left="60" w:right="60"/>
              <w:jc w:val="center"/>
              <w:rPr>
                <w:rFonts w:ascii="Arial" w:hAnsi="Arial" w:cs="Arial"/>
                <w:b/>
                <w:color w:val="000000"/>
                <w:sz w:val="20"/>
                <w:szCs w:val="20"/>
              </w:rPr>
            </w:pPr>
            <w:r w:rsidRPr="00154914">
              <w:rPr>
                <w:rFonts w:ascii="Arial" w:hAnsi="Arial" w:cs="Arial"/>
                <w:b/>
                <w:color w:val="000000"/>
                <w:sz w:val="20"/>
                <w:szCs w:val="20"/>
              </w:rPr>
              <w:t>.018</w:t>
            </w:r>
          </w:p>
        </w:tc>
      </w:tr>
    </w:tbl>
    <w:p w:rsidR="005633E2" w:rsidRPr="005633E2" w:rsidRDefault="00154914" w:rsidP="00154914">
      <w:pPr>
        <w:autoSpaceDE w:val="0"/>
        <w:autoSpaceDN w:val="0"/>
        <w:adjustRightInd w:val="0"/>
        <w:spacing w:after="0" w:line="240" w:lineRule="auto"/>
        <w:rPr>
          <w:rFonts w:ascii="Times New Roman" w:hAnsi="Times New Roman" w:cs="Times New Roman"/>
          <w:sz w:val="24"/>
          <w:szCs w:val="24"/>
        </w:rPr>
      </w:pPr>
      <w:r w:rsidRPr="005F12BA">
        <w:rPr>
          <w:rFonts w:ascii="Arial" w:hAnsi="Arial" w:cs="Arial"/>
          <w:sz w:val="16"/>
          <w:szCs w:val="16"/>
        </w:rPr>
        <w:t>Nota: los ítems con un nivel de significación menor a .05 se señalan con negrit</w:t>
      </w:r>
      <w:r>
        <w:rPr>
          <w:rFonts w:ascii="Arial" w:hAnsi="Arial" w:cs="Arial"/>
          <w:sz w:val="16"/>
          <w:szCs w:val="16"/>
        </w:rPr>
        <w:t>as</w:t>
      </w:r>
    </w:p>
    <w:p w:rsidR="005633E2" w:rsidRPr="009904F2" w:rsidRDefault="005633E2" w:rsidP="003451FA">
      <w:pPr>
        <w:autoSpaceDE w:val="0"/>
        <w:autoSpaceDN w:val="0"/>
        <w:adjustRightInd w:val="0"/>
        <w:spacing w:after="0" w:line="240" w:lineRule="auto"/>
        <w:rPr>
          <w:rFonts w:ascii="Arial" w:hAnsi="Arial" w:cs="Arial"/>
          <w:sz w:val="24"/>
          <w:szCs w:val="24"/>
        </w:rPr>
      </w:pPr>
    </w:p>
    <w:p w:rsidR="00744143" w:rsidRDefault="00EB333B" w:rsidP="003451FA">
      <w:pPr>
        <w:pStyle w:val="Prrafodelista"/>
        <w:numPr>
          <w:ilvl w:val="0"/>
          <w:numId w:val="7"/>
        </w:numPr>
        <w:autoSpaceDE w:val="0"/>
        <w:autoSpaceDN w:val="0"/>
        <w:adjustRightInd w:val="0"/>
        <w:spacing w:after="0" w:line="240" w:lineRule="auto"/>
        <w:rPr>
          <w:rFonts w:ascii="Arial" w:hAnsi="Arial" w:cs="Arial"/>
          <w:sz w:val="24"/>
          <w:szCs w:val="24"/>
        </w:rPr>
      </w:pPr>
      <w:r>
        <w:rPr>
          <w:rFonts w:ascii="Arial" w:hAnsi="Arial" w:cs="Arial"/>
          <w:sz w:val="24"/>
          <w:szCs w:val="24"/>
        </w:rPr>
        <w:t>C</w:t>
      </w:r>
      <w:r w:rsidRPr="00EB333B">
        <w:rPr>
          <w:rFonts w:ascii="Arial" w:hAnsi="Arial" w:cs="Arial"/>
          <w:sz w:val="24"/>
          <w:szCs w:val="24"/>
        </w:rPr>
        <w:t xml:space="preserve">larificar </w:t>
      </w:r>
      <w:r>
        <w:rPr>
          <w:rFonts w:ascii="Arial" w:hAnsi="Arial" w:cs="Arial"/>
          <w:sz w:val="24"/>
          <w:szCs w:val="24"/>
        </w:rPr>
        <w:t>y enunciar explícitamente</w:t>
      </w:r>
      <w:r w:rsidRPr="00EB333B">
        <w:rPr>
          <w:rFonts w:ascii="Arial" w:hAnsi="Arial" w:cs="Arial"/>
          <w:sz w:val="24"/>
          <w:szCs w:val="24"/>
        </w:rPr>
        <w:t xml:space="preserve">: </w:t>
      </w:r>
      <w:r>
        <w:rPr>
          <w:rFonts w:ascii="Arial" w:hAnsi="Arial" w:cs="Arial"/>
          <w:sz w:val="24"/>
          <w:szCs w:val="24"/>
        </w:rPr>
        <w:t xml:space="preserve">a) </w:t>
      </w:r>
      <w:r w:rsidRPr="00EB333B">
        <w:rPr>
          <w:rFonts w:ascii="Arial" w:hAnsi="Arial" w:cs="Arial"/>
          <w:sz w:val="24"/>
          <w:szCs w:val="24"/>
        </w:rPr>
        <w:t xml:space="preserve">cual perspectiva de estudio del apoyo social </w:t>
      </w:r>
      <w:r>
        <w:rPr>
          <w:rFonts w:ascii="Arial" w:hAnsi="Arial" w:cs="Arial"/>
          <w:sz w:val="24"/>
          <w:szCs w:val="24"/>
        </w:rPr>
        <w:t xml:space="preserve">es la que </w:t>
      </w:r>
      <w:r w:rsidRPr="00EB333B">
        <w:rPr>
          <w:rFonts w:ascii="Arial" w:hAnsi="Arial" w:cs="Arial"/>
          <w:sz w:val="24"/>
          <w:szCs w:val="24"/>
        </w:rPr>
        <w:t xml:space="preserve">se aborda, </w:t>
      </w:r>
      <w:r>
        <w:rPr>
          <w:rFonts w:ascii="Arial" w:hAnsi="Arial" w:cs="Arial"/>
          <w:sz w:val="24"/>
          <w:szCs w:val="24"/>
        </w:rPr>
        <w:t xml:space="preserve">y </w:t>
      </w:r>
      <w:r w:rsidRPr="00EB333B">
        <w:rPr>
          <w:rFonts w:ascii="Arial" w:hAnsi="Arial" w:cs="Arial"/>
          <w:sz w:val="24"/>
          <w:szCs w:val="24"/>
        </w:rPr>
        <w:t xml:space="preserve">b) </w:t>
      </w:r>
      <w:r>
        <w:rPr>
          <w:rFonts w:ascii="Arial" w:hAnsi="Arial" w:cs="Arial"/>
          <w:sz w:val="24"/>
          <w:szCs w:val="24"/>
        </w:rPr>
        <w:t xml:space="preserve"> cual aspecto de la red de apoyo social, del apoyo social percibido o del apoyo social efectivo se está abordando.</w:t>
      </w:r>
    </w:p>
    <w:p w:rsidR="00EB333B" w:rsidRPr="003451FA" w:rsidRDefault="00EB333B" w:rsidP="003451FA">
      <w:pPr>
        <w:pStyle w:val="Prrafodelista"/>
        <w:numPr>
          <w:ilvl w:val="0"/>
          <w:numId w:val="7"/>
        </w:num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Clarificar y </w:t>
      </w:r>
      <w:r w:rsidRPr="00EB333B">
        <w:rPr>
          <w:rFonts w:ascii="Arial" w:hAnsi="Arial" w:cs="Arial"/>
          <w:sz w:val="24"/>
          <w:szCs w:val="24"/>
        </w:rPr>
        <w:t>enunciar explícitamente</w:t>
      </w:r>
      <w:r>
        <w:rPr>
          <w:rFonts w:ascii="Arial" w:hAnsi="Arial" w:cs="Arial"/>
          <w:sz w:val="24"/>
          <w:szCs w:val="24"/>
        </w:rPr>
        <w:t xml:space="preserve"> cual</w:t>
      </w:r>
      <w:r w:rsidR="003451FA">
        <w:rPr>
          <w:rFonts w:ascii="Arial" w:hAnsi="Arial" w:cs="Arial"/>
          <w:sz w:val="24"/>
          <w:szCs w:val="24"/>
        </w:rPr>
        <w:t xml:space="preserve"> vertiente conceptual se aborda </w:t>
      </w:r>
      <w:r w:rsidR="003451FA" w:rsidRPr="003451FA">
        <w:rPr>
          <w:rFonts w:ascii="Arial" w:hAnsi="Arial" w:cs="Arial"/>
          <w:sz w:val="24"/>
          <w:szCs w:val="24"/>
        </w:rPr>
        <w:t>c</w:t>
      </w:r>
      <w:r w:rsidRPr="003451FA">
        <w:rPr>
          <w:rFonts w:ascii="Arial" w:hAnsi="Arial" w:cs="Arial"/>
          <w:sz w:val="24"/>
          <w:szCs w:val="24"/>
        </w:rPr>
        <w:t>uando se habla del estrés o de sus componentes o variables asociadas.</w:t>
      </w:r>
    </w:p>
    <w:p w:rsidR="00F43084" w:rsidRDefault="00EB333B" w:rsidP="003451FA">
      <w:pPr>
        <w:spacing w:after="0" w:line="240" w:lineRule="auto"/>
        <w:rPr>
          <w:rFonts w:ascii="Arial" w:hAnsi="Arial" w:cs="Arial"/>
          <w:sz w:val="24"/>
          <w:szCs w:val="24"/>
        </w:rPr>
      </w:pPr>
      <w:r w:rsidRPr="00EB333B">
        <w:rPr>
          <w:rFonts w:ascii="Arial" w:hAnsi="Arial" w:cs="Arial"/>
          <w:sz w:val="24"/>
          <w:szCs w:val="24"/>
        </w:rPr>
        <w:tab/>
        <w:t>La</w:t>
      </w:r>
      <w:r>
        <w:rPr>
          <w:rFonts w:ascii="Arial" w:hAnsi="Arial" w:cs="Arial"/>
          <w:sz w:val="24"/>
          <w:szCs w:val="24"/>
        </w:rPr>
        <w:t>sre</w:t>
      </w:r>
      <w:r w:rsidR="003451FA">
        <w:rPr>
          <w:rFonts w:ascii="Arial" w:hAnsi="Arial" w:cs="Arial"/>
          <w:sz w:val="24"/>
          <w:szCs w:val="24"/>
        </w:rPr>
        <w:t>laciones, a las que nos conducen</w:t>
      </w:r>
      <w:r>
        <w:rPr>
          <w:rFonts w:ascii="Arial" w:hAnsi="Arial" w:cs="Arial"/>
          <w:sz w:val="24"/>
          <w:szCs w:val="24"/>
        </w:rPr>
        <w:t xml:space="preserve"> los </w:t>
      </w:r>
      <w:r w:rsidRPr="00EB333B">
        <w:rPr>
          <w:rFonts w:ascii="Arial" w:hAnsi="Arial" w:cs="Arial"/>
          <w:sz w:val="24"/>
          <w:szCs w:val="24"/>
        </w:rPr>
        <w:t xml:space="preserve">dos </w:t>
      </w:r>
      <w:r w:rsidR="003451FA">
        <w:rPr>
          <w:rFonts w:ascii="Arial" w:hAnsi="Arial" w:cs="Arial"/>
          <w:sz w:val="24"/>
          <w:szCs w:val="24"/>
        </w:rPr>
        <w:t xml:space="preserve">modelos propuestos por Cohen y </w:t>
      </w:r>
      <w:proofErr w:type="spellStart"/>
      <w:r w:rsidR="003451FA">
        <w:rPr>
          <w:rFonts w:ascii="Arial" w:hAnsi="Arial" w:cs="Arial"/>
          <w:sz w:val="24"/>
          <w:szCs w:val="24"/>
        </w:rPr>
        <w:t>Wills</w:t>
      </w:r>
      <w:proofErr w:type="spellEnd"/>
      <w:r w:rsidR="006F52E2">
        <w:rPr>
          <w:rFonts w:ascii="Arial" w:hAnsi="Arial" w:cs="Arial"/>
          <w:sz w:val="24"/>
          <w:szCs w:val="24"/>
        </w:rPr>
        <w:t xml:space="preserve"> </w:t>
      </w:r>
      <w:r w:rsidR="003451FA">
        <w:rPr>
          <w:rFonts w:ascii="Arial" w:hAnsi="Arial" w:cs="Arial"/>
          <w:sz w:val="24"/>
          <w:szCs w:val="24"/>
        </w:rPr>
        <w:t>(</w:t>
      </w:r>
      <w:r w:rsidR="003451FA" w:rsidRPr="003451FA">
        <w:rPr>
          <w:rFonts w:ascii="Arial" w:hAnsi="Arial" w:cs="Arial"/>
          <w:sz w:val="24"/>
          <w:szCs w:val="24"/>
        </w:rPr>
        <w:t>1985)</w:t>
      </w:r>
      <w:r w:rsidR="003451FA">
        <w:rPr>
          <w:rFonts w:ascii="Arial" w:hAnsi="Arial" w:cs="Arial"/>
          <w:sz w:val="24"/>
          <w:szCs w:val="24"/>
        </w:rPr>
        <w:t>, están mediadas por las conceptualizaciones diferenciadas de las variables involucradas, y por los aspectos abordados de las mismas, por lo que se vuelve un imperativo desmenuzar finamente estos procesos para poder contrastar empíricamente sus hipótesis y cuando así se requiera derivar hipótesis secundarias que expliquen los resultados encontrados.</w:t>
      </w:r>
    </w:p>
    <w:p w:rsidR="003451FA" w:rsidRDefault="003451FA" w:rsidP="003451FA">
      <w:pPr>
        <w:spacing w:after="0" w:line="240" w:lineRule="auto"/>
        <w:rPr>
          <w:rFonts w:ascii="Arial" w:hAnsi="Arial" w:cs="Arial"/>
          <w:sz w:val="24"/>
          <w:szCs w:val="24"/>
        </w:rPr>
      </w:pPr>
      <w:r>
        <w:rPr>
          <w:rFonts w:ascii="Arial" w:hAnsi="Arial" w:cs="Arial"/>
          <w:sz w:val="24"/>
          <w:szCs w:val="24"/>
        </w:rPr>
        <w:tab/>
        <w:t>La incorporación del síndrome de burnout  a la cadena causal de la hipótesis del efecto amortiguador se considera correcta y permite elucidar nuevos elementos participantes en la discusión.</w:t>
      </w:r>
    </w:p>
    <w:p w:rsidR="003451FA" w:rsidRPr="00EB333B" w:rsidRDefault="003451FA" w:rsidP="003451FA">
      <w:pPr>
        <w:spacing w:after="0" w:line="240" w:lineRule="auto"/>
        <w:rPr>
          <w:rFonts w:ascii="Arial" w:hAnsi="Arial" w:cs="Arial"/>
          <w:sz w:val="24"/>
          <w:szCs w:val="24"/>
        </w:rPr>
      </w:pPr>
      <w:r>
        <w:rPr>
          <w:rFonts w:ascii="Arial" w:hAnsi="Arial" w:cs="Arial"/>
          <w:sz w:val="24"/>
          <w:szCs w:val="24"/>
        </w:rPr>
        <w:tab/>
      </w:r>
    </w:p>
    <w:p w:rsidR="00DB6EFA" w:rsidRPr="009904F2" w:rsidRDefault="00DB6EFA" w:rsidP="003451FA">
      <w:pPr>
        <w:spacing w:after="0" w:line="240" w:lineRule="auto"/>
        <w:rPr>
          <w:rFonts w:ascii="Arial" w:hAnsi="Arial" w:cs="Arial"/>
          <w:sz w:val="24"/>
          <w:szCs w:val="24"/>
        </w:rPr>
      </w:pPr>
    </w:p>
    <w:p w:rsidR="001540B6" w:rsidRPr="006F52E2" w:rsidRDefault="00D23B07" w:rsidP="003451FA">
      <w:pPr>
        <w:spacing w:after="0" w:line="240" w:lineRule="auto"/>
        <w:rPr>
          <w:rFonts w:ascii="Arial" w:hAnsi="Arial" w:cs="Arial"/>
          <w:b/>
          <w:sz w:val="20"/>
          <w:szCs w:val="20"/>
        </w:rPr>
      </w:pPr>
      <w:r w:rsidRPr="006F52E2">
        <w:rPr>
          <w:rFonts w:ascii="Arial" w:hAnsi="Arial" w:cs="Arial"/>
          <w:b/>
          <w:sz w:val="20"/>
          <w:szCs w:val="20"/>
        </w:rPr>
        <w:t>Referencias</w:t>
      </w:r>
    </w:p>
    <w:p w:rsidR="00F43084" w:rsidRPr="006F52E2" w:rsidRDefault="00F43084" w:rsidP="003451FA">
      <w:pPr>
        <w:spacing w:after="0" w:line="240" w:lineRule="auto"/>
        <w:rPr>
          <w:rFonts w:ascii="Arial" w:hAnsi="Arial" w:cs="Arial"/>
          <w:b/>
          <w:sz w:val="20"/>
          <w:szCs w:val="20"/>
        </w:rPr>
      </w:pPr>
    </w:p>
    <w:p w:rsidR="002B5FDC" w:rsidRPr="006F52E2" w:rsidRDefault="002B5FDC" w:rsidP="003451FA">
      <w:pPr>
        <w:spacing w:after="0" w:line="240" w:lineRule="auto"/>
        <w:ind w:left="709" w:hanging="709"/>
        <w:rPr>
          <w:rFonts w:ascii="Arial" w:hAnsi="Arial" w:cs="Arial"/>
          <w:sz w:val="20"/>
          <w:szCs w:val="20"/>
        </w:rPr>
      </w:pPr>
      <w:r w:rsidRPr="006F52E2">
        <w:rPr>
          <w:rFonts w:ascii="Arial" w:hAnsi="Arial" w:cs="Arial"/>
          <w:sz w:val="20"/>
          <w:szCs w:val="20"/>
        </w:rPr>
        <w:t xml:space="preserve">Aranda, C.; González, R.; Pando, M. y Hidalgo, G. (2013). Factores de riesgo psicosocial laborales, apoyosocial y síndrome de Burnout en médicos defamilia de tres instituciones públicas de salud de Guadalajara (México). </w:t>
      </w:r>
      <w:r w:rsidRPr="006F52E2">
        <w:rPr>
          <w:rFonts w:ascii="Arial" w:hAnsi="Arial" w:cs="Arial"/>
          <w:i/>
          <w:sz w:val="20"/>
          <w:szCs w:val="20"/>
        </w:rPr>
        <w:t xml:space="preserve">Salud </w:t>
      </w:r>
      <w:proofErr w:type="spellStart"/>
      <w:r w:rsidRPr="006F52E2">
        <w:rPr>
          <w:rFonts w:ascii="Arial" w:hAnsi="Arial" w:cs="Arial"/>
          <w:i/>
          <w:sz w:val="20"/>
          <w:szCs w:val="20"/>
        </w:rPr>
        <w:t>Uninorte</w:t>
      </w:r>
      <w:proofErr w:type="spellEnd"/>
      <w:r w:rsidRPr="006F52E2">
        <w:rPr>
          <w:rFonts w:ascii="Arial" w:hAnsi="Arial" w:cs="Arial"/>
          <w:i/>
          <w:sz w:val="20"/>
          <w:szCs w:val="20"/>
        </w:rPr>
        <w:t>. Barranquilla (Col.)</w:t>
      </w:r>
      <w:r w:rsidRPr="006F52E2">
        <w:rPr>
          <w:rFonts w:ascii="Arial" w:hAnsi="Arial" w:cs="Arial"/>
          <w:sz w:val="20"/>
          <w:szCs w:val="20"/>
        </w:rPr>
        <w:t xml:space="preserve"> 29(3), 487-500</w:t>
      </w:r>
    </w:p>
    <w:p w:rsidR="00D23B07" w:rsidRPr="006F52E2" w:rsidRDefault="00D23B07" w:rsidP="003451FA">
      <w:pPr>
        <w:spacing w:after="0" w:line="240" w:lineRule="auto"/>
        <w:ind w:left="709" w:hanging="709"/>
        <w:rPr>
          <w:rFonts w:ascii="Arial" w:hAnsi="Arial" w:cs="Arial"/>
          <w:sz w:val="20"/>
          <w:szCs w:val="20"/>
        </w:rPr>
      </w:pPr>
      <w:r w:rsidRPr="006F52E2">
        <w:rPr>
          <w:rFonts w:ascii="Arial" w:hAnsi="Arial" w:cs="Arial"/>
          <w:sz w:val="20"/>
          <w:szCs w:val="20"/>
        </w:rPr>
        <w:t xml:space="preserve">Barra, E. (2004).Apoyo social, estrés y salud. </w:t>
      </w:r>
      <w:r w:rsidRPr="006F52E2">
        <w:rPr>
          <w:rFonts w:ascii="Arial" w:hAnsi="Arial" w:cs="Arial"/>
          <w:i/>
          <w:sz w:val="20"/>
          <w:szCs w:val="20"/>
        </w:rPr>
        <w:t>Psicología y Salud,</w:t>
      </w:r>
      <w:r w:rsidRPr="006F52E2">
        <w:rPr>
          <w:rFonts w:ascii="Arial" w:hAnsi="Arial" w:cs="Arial"/>
          <w:sz w:val="20"/>
          <w:szCs w:val="20"/>
        </w:rPr>
        <w:t xml:space="preserve"> 14(2), 237-243</w:t>
      </w:r>
    </w:p>
    <w:p w:rsidR="004C2E42" w:rsidRPr="006F52E2" w:rsidRDefault="004C2E42" w:rsidP="003451FA">
      <w:pPr>
        <w:spacing w:after="0" w:line="240" w:lineRule="auto"/>
        <w:ind w:left="709" w:hanging="709"/>
        <w:jc w:val="both"/>
        <w:rPr>
          <w:rFonts w:ascii="Arial" w:hAnsi="Arial" w:cs="Arial"/>
          <w:sz w:val="20"/>
          <w:szCs w:val="20"/>
        </w:rPr>
      </w:pPr>
      <w:r w:rsidRPr="006F52E2">
        <w:rPr>
          <w:rFonts w:ascii="Arial" w:hAnsi="Arial" w:cs="Arial"/>
          <w:sz w:val="20"/>
          <w:szCs w:val="20"/>
        </w:rPr>
        <w:t xml:space="preserve">Barraza, A. (2009). Estrés académico y burnout estudiantil. Análisis de su relación en alumnos de licenciatura. </w:t>
      </w:r>
      <w:proofErr w:type="spellStart"/>
      <w:r w:rsidRPr="006F52E2">
        <w:rPr>
          <w:rFonts w:ascii="Arial" w:hAnsi="Arial" w:cs="Arial"/>
          <w:i/>
          <w:sz w:val="20"/>
          <w:szCs w:val="20"/>
        </w:rPr>
        <w:t>Psicogente</w:t>
      </w:r>
      <w:proofErr w:type="spellEnd"/>
      <w:r w:rsidRPr="006F52E2">
        <w:rPr>
          <w:rFonts w:ascii="Arial" w:hAnsi="Arial" w:cs="Arial"/>
          <w:i/>
          <w:sz w:val="20"/>
          <w:szCs w:val="20"/>
        </w:rPr>
        <w:t>,</w:t>
      </w:r>
      <w:r w:rsidRPr="006F52E2">
        <w:rPr>
          <w:rFonts w:ascii="Arial" w:hAnsi="Arial" w:cs="Arial"/>
          <w:sz w:val="20"/>
          <w:szCs w:val="20"/>
        </w:rPr>
        <w:t xml:space="preserve"> 12(22), 272-283.</w:t>
      </w:r>
    </w:p>
    <w:p w:rsidR="001B3525" w:rsidRPr="006F52E2" w:rsidRDefault="001B3525" w:rsidP="003451FA">
      <w:pPr>
        <w:spacing w:after="0" w:line="240" w:lineRule="auto"/>
        <w:ind w:left="709" w:hanging="709"/>
        <w:jc w:val="both"/>
        <w:rPr>
          <w:rFonts w:ascii="Arial" w:hAnsi="Arial" w:cs="Arial"/>
          <w:sz w:val="20"/>
          <w:szCs w:val="20"/>
        </w:rPr>
      </w:pPr>
      <w:r w:rsidRPr="006F52E2">
        <w:rPr>
          <w:rFonts w:ascii="Arial" w:hAnsi="Arial" w:cs="Arial"/>
          <w:sz w:val="20"/>
          <w:szCs w:val="20"/>
        </w:rPr>
        <w:lastRenderedPageBreak/>
        <w:t xml:space="preserve">Barraza, A. (2011). Validación psicométrica de la escala unidimensional del burnout estudiantil. </w:t>
      </w:r>
      <w:r w:rsidRPr="006F52E2">
        <w:rPr>
          <w:rFonts w:ascii="Arial" w:hAnsi="Arial" w:cs="Arial"/>
          <w:i/>
          <w:sz w:val="20"/>
          <w:szCs w:val="20"/>
        </w:rPr>
        <w:t>Revista Intercontinental de Psicología y Educación</w:t>
      </w:r>
      <w:r w:rsidRPr="006F52E2">
        <w:rPr>
          <w:rFonts w:ascii="Arial" w:hAnsi="Arial" w:cs="Arial"/>
          <w:sz w:val="20"/>
          <w:szCs w:val="20"/>
        </w:rPr>
        <w:t>, 13(2), 51-74.</w:t>
      </w:r>
    </w:p>
    <w:p w:rsidR="00952C43" w:rsidRPr="006F52E2" w:rsidRDefault="00952C43" w:rsidP="003451FA">
      <w:pPr>
        <w:spacing w:after="0" w:line="240" w:lineRule="auto"/>
        <w:ind w:left="709" w:hanging="709"/>
        <w:jc w:val="both"/>
        <w:rPr>
          <w:rFonts w:ascii="Arial" w:hAnsi="Arial" w:cs="Arial"/>
          <w:sz w:val="20"/>
          <w:szCs w:val="20"/>
        </w:rPr>
      </w:pPr>
      <w:r w:rsidRPr="006F52E2">
        <w:rPr>
          <w:rFonts w:ascii="Arial" w:hAnsi="Arial" w:cs="Arial"/>
          <w:sz w:val="20"/>
          <w:szCs w:val="20"/>
        </w:rPr>
        <w:t xml:space="preserve">Barrón, A. y Sánchez, E. (2001). Estructura social, apoyo social y salud mental. </w:t>
      </w:r>
      <w:proofErr w:type="spellStart"/>
      <w:r w:rsidRPr="006F52E2">
        <w:rPr>
          <w:rFonts w:ascii="Arial" w:hAnsi="Arial" w:cs="Arial"/>
          <w:i/>
          <w:sz w:val="20"/>
          <w:szCs w:val="20"/>
        </w:rPr>
        <w:t>Psicothema</w:t>
      </w:r>
      <w:proofErr w:type="spellEnd"/>
      <w:r w:rsidRPr="006F52E2">
        <w:rPr>
          <w:rFonts w:ascii="Arial" w:hAnsi="Arial" w:cs="Arial"/>
          <w:i/>
          <w:sz w:val="20"/>
          <w:szCs w:val="20"/>
        </w:rPr>
        <w:t>,</w:t>
      </w:r>
      <w:r w:rsidRPr="006F52E2">
        <w:rPr>
          <w:rFonts w:ascii="Arial" w:hAnsi="Arial" w:cs="Arial"/>
          <w:sz w:val="20"/>
          <w:szCs w:val="20"/>
        </w:rPr>
        <w:t xml:space="preserve"> 13(1), 17-23.</w:t>
      </w:r>
    </w:p>
    <w:p w:rsidR="0023412C" w:rsidRPr="006F52E2" w:rsidRDefault="0023412C" w:rsidP="003451FA">
      <w:pPr>
        <w:spacing w:after="0" w:line="240" w:lineRule="auto"/>
        <w:ind w:left="709" w:hanging="709"/>
        <w:jc w:val="both"/>
        <w:rPr>
          <w:rFonts w:ascii="Arial" w:hAnsi="Arial" w:cs="Arial"/>
          <w:color w:val="222222"/>
          <w:sz w:val="20"/>
          <w:szCs w:val="20"/>
          <w:lang w:val="en-US"/>
        </w:rPr>
      </w:pPr>
      <w:proofErr w:type="spellStart"/>
      <w:r w:rsidRPr="006F52E2">
        <w:rPr>
          <w:rFonts w:ascii="Arial" w:hAnsi="Arial" w:cs="Arial"/>
          <w:color w:val="222222"/>
          <w:sz w:val="20"/>
          <w:szCs w:val="20"/>
        </w:rPr>
        <w:t>Buesa</w:t>
      </w:r>
      <w:proofErr w:type="spellEnd"/>
      <w:r w:rsidRPr="006F52E2">
        <w:rPr>
          <w:rFonts w:ascii="Arial" w:hAnsi="Arial" w:cs="Arial"/>
          <w:color w:val="222222"/>
          <w:sz w:val="20"/>
          <w:szCs w:val="20"/>
        </w:rPr>
        <w:t xml:space="preserve">, S. y Calvete, E. (2013). Violencia contra la mujer y síntomas de depresión y estrés postraumático: papel del apoyo social. </w:t>
      </w:r>
      <w:r w:rsidRPr="006F52E2">
        <w:rPr>
          <w:rFonts w:ascii="Arial" w:hAnsi="Arial" w:cs="Arial"/>
          <w:i/>
          <w:color w:val="222222"/>
          <w:sz w:val="20"/>
          <w:szCs w:val="20"/>
          <w:lang w:val="en-US"/>
        </w:rPr>
        <w:t>International Journal of Psychology and Psychological Therapy,</w:t>
      </w:r>
      <w:r w:rsidRPr="006F52E2">
        <w:rPr>
          <w:rFonts w:ascii="Arial" w:hAnsi="Arial" w:cs="Arial"/>
          <w:color w:val="222222"/>
          <w:sz w:val="20"/>
          <w:szCs w:val="20"/>
          <w:lang w:val="en-US"/>
        </w:rPr>
        <w:t xml:space="preserve"> 13(1), 31-46.</w:t>
      </w:r>
    </w:p>
    <w:p w:rsidR="0023412C" w:rsidRPr="006F52E2" w:rsidRDefault="0023412C" w:rsidP="003451FA">
      <w:pPr>
        <w:spacing w:after="0" w:line="240" w:lineRule="auto"/>
        <w:ind w:left="709" w:hanging="709"/>
        <w:jc w:val="both"/>
        <w:rPr>
          <w:rFonts w:ascii="Arial" w:hAnsi="Arial" w:cs="Arial"/>
          <w:color w:val="222222"/>
          <w:sz w:val="20"/>
          <w:szCs w:val="20"/>
        </w:rPr>
      </w:pPr>
      <w:r w:rsidRPr="006F52E2">
        <w:rPr>
          <w:rFonts w:ascii="Arial" w:hAnsi="Arial" w:cs="Arial"/>
          <w:color w:val="222222"/>
          <w:sz w:val="20"/>
          <w:szCs w:val="20"/>
          <w:lang w:val="en-US"/>
        </w:rPr>
        <w:t xml:space="preserve">Canales, S. y Barra, E. (2014). </w:t>
      </w:r>
      <w:r w:rsidRPr="006F52E2">
        <w:rPr>
          <w:rFonts w:ascii="Arial" w:hAnsi="Arial" w:cs="Arial"/>
          <w:color w:val="222222"/>
          <w:sz w:val="20"/>
          <w:szCs w:val="20"/>
        </w:rPr>
        <w:t>Autoeficacia, apoyo social y adherencia al tratamiento en adultos con diabetes mellitus tipo II. P</w:t>
      </w:r>
      <w:r w:rsidRPr="006F52E2">
        <w:rPr>
          <w:rFonts w:ascii="Arial" w:hAnsi="Arial" w:cs="Arial"/>
          <w:i/>
          <w:color w:val="222222"/>
          <w:sz w:val="20"/>
          <w:szCs w:val="20"/>
        </w:rPr>
        <w:t xml:space="preserve">sicología y salud, </w:t>
      </w:r>
      <w:r w:rsidRPr="006F52E2">
        <w:rPr>
          <w:rFonts w:ascii="Arial" w:hAnsi="Arial" w:cs="Arial"/>
          <w:color w:val="222222"/>
          <w:sz w:val="20"/>
          <w:szCs w:val="20"/>
        </w:rPr>
        <w:t>24(2), 167-173.</w:t>
      </w:r>
    </w:p>
    <w:p w:rsidR="0023412C" w:rsidRPr="006F52E2" w:rsidRDefault="0023412C" w:rsidP="003451FA">
      <w:pPr>
        <w:spacing w:after="0" w:line="240" w:lineRule="auto"/>
        <w:ind w:left="709" w:hanging="709"/>
        <w:jc w:val="both"/>
        <w:rPr>
          <w:rFonts w:ascii="Arial" w:hAnsi="Arial" w:cs="Arial"/>
          <w:color w:val="222222"/>
          <w:sz w:val="20"/>
          <w:szCs w:val="20"/>
          <w:lang w:val="en-US"/>
        </w:rPr>
      </w:pPr>
      <w:r w:rsidRPr="006F52E2">
        <w:rPr>
          <w:rFonts w:ascii="Arial" w:hAnsi="Arial" w:cs="Arial"/>
          <w:color w:val="222222"/>
          <w:sz w:val="20"/>
          <w:szCs w:val="20"/>
        </w:rPr>
        <w:t xml:space="preserve">Castellano, C. L. (2014). La influencia del apoyo social en el estado emocional y las actitudes hacia la vejez y el envejecimiento en una muestra de ancianos. </w:t>
      </w:r>
      <w:r w:rsidRPr="006F52E2">
        <w:rPr>
          <w:rFonts w:ascii="Arial" w:hAnsi="Arial" w:cs="Arial"/>
          <w:i/>
          <w:color w:val="222222"/>
          <w:sz w:val="20"/>
          <w:szCs w:val="20"/>
          <w:lang w:val="en-US"/>
        </w:rPr>
        <w:t>International Journal of Psychology and PsychologicalTherapy</w:t>
      </w:r>
      <w:proofErr w:type="gramStart"/>
      <w:r w:rsidRPr="006F52E2">
        <w:rPr>
          <w:rFonts w:ascii="Arial" w:hAnsi="Arial" w:cs="Arial"/>
          <w:i/>
          <w:color w:val="222222"/>
          <w:sz w:val="20"/>
          <w:szCs w:val="20"/>
          <w:lang w:val="en-US"/>
        </w:rPr>
        <w:t>,</w:t>
      </w:r>
      <w:r w:rsidRPr="006F52E2">
        <w:rPr>
          <w:rFonts w:ascii="Arial" w:hAnsi="Arial" w:cs="Arial"/>
          <w:color w:val="222222"/>
          <w:sz w:val="20"/>
          <w:szCs w:val="20"/>
          <w:lang w:val="en-US"/>
        </w:rPr>
        <w:t>14</w:t>
      </w:r>
      <w:proofErr w:type="gramEnd"/>
      <w:r w:rsidRPr="006F52E2">
        <w:rPr>
          <w:rFonts w:ascii="Arial" w:hAnsi="Arial" w:cs="Arial"/>
          <w:color w:val="222222"/>
          <w:sz w:val="20"/>
          <w:szCs w:val="20"/>
          <w:lang w:val="en-US"/>
        </w:rPr>
        <w:t>(3), 365-377.</w:t>
      </w:r>
    </w:p>
    <w:p w:rsidR="0033530A" w:rsidRPr="006F52E2" w:rsidRDefault="00952C43" w:rsidP="003451FA">
      <w:pPr>
        <w:spacing w:after="0" w:line="240" w:lineRule="auto"/>
        <w:ind w:left="709" w:hanging="709"/>
        <w:jc w:val="both"/>
        <w:rPr>
          <w:rFonts w:ascii="Arial" w:hAnsi="Arial" w:cs="Arial"/>
          <w:sz w:val="20"/>
          <w:szCs w:val="20"/>
          <w:lang w:val="en-US"/>
        </w:rPr>
      </w:pPr>
      <w:r w:rsidRPr="006F52E2">
        <w:rPr>
          <w:rFonts w:ascii="Arial" w:hAnsi="Arial" w:cs="Arial"/>
          <w:color w:val="222222"/>
          <w:sz w:val="20"/>
          <w:szCs w:val="20"/>
          <w:lang w:val="en-US"/>
        </w:rPr>
        <w:t xml:space="preserve">Cohen, S. y Wills, T. A. (1985). </w:t>
      </w:r>
      <w:r w:rsidRPr="006F52E2">
        <w:rPr>
          <w:rFonts w:ascii="Arial" w:hAnsi="Arial" w:cs="Arial"/>
          <w:sz w:val="20"/>
          <w:szCs w:val="20"/>
          <w:lang w:val="en-US"/>
        </w:rPr>
        <w:t xml:space="preserve">Stress, Social Support, and the Buffering </w:t>
      </w:r>
      <w:proofErr w:type="spellStart"/>
      <w:r w:rsidRPr="006F52E2">
        <w:rPr>
          <w:rFonts w:ascii="Arial" w:hAnsi="Arial" w:cs="Arial"/>
          <w:sz w:val="20"/>
          <w:szCs w:val="20"/>
          <w:lang w:val="en-US"/>
        </w:rPr>
        <w:t>Hypothesis.</w:t>
      </w:r>
      <w:r w:rsidRPr="006F52E2">
        <w:rPr>
          <w:rFonts w:ascii="Arial" w:hAnsi="Arial" w:cs="Arial"/>
          <w:i/>
          <w:sz w:val="20"/>
          <w:szCs w:val="20"/>
          <w:lang w:val="en-US"/>
        </w:rPr>
        <w:t>Psychologkal</w:t>
      </w:r>
      <w:proofErr w:type="spellEnd"/>
      <w:r w:rsidRPr="006F52E2">
        <w:rPr>
          <w:rFonts w:ascii="Arial" w:hAnsi="Arial" w:cs="Arial"/>
          <w:i/>
          <w:sz w:val="20"/>
          <w:szCs w:val="20"/>
          <w:lang w:val="en-US"/>
        </w:rPr>
        <w:t xml:space="preserve"> Bulletin, 98</w:t>
      </w:r>
      <w:r w:rsidRPr="006F52E2">
        <w:rPr>
          <w:rFonts w:ascii="Arial" w:hAnsi="Arial" w:cs="Arial"/>
          <w:sz w:val="20"/>
          <w:szCs w:val="20"/>
          <w:lang w:val="en-US"/>
        </w:rPr>
        <w:t>(2), 310-357.</w:t>
      </w:r>
    </w:p>
    <w:p w:rsidR="005A7E60" w:rsidRPr="006F52E2" w:rsidRDefault="005A7E60" w:rsidP="003451FA">
      <w:pPr>
        <w:spacing w:after="0" w:line="240" w:lineRule="auto"/>
        <w:ind w:left="709" w:hanging="709"/>
        <w:jc w:val="both"/>
        <w:rPr>
          <w:rFonts w:ascii="Arial" w:hAnsi="Arial" w:cs="Arial"/>
          <w:sz w:val="20"/>
          <w:szCs w:val="20"/>
        </w:rPr>
      </w:pPr>
      <w:proofErr w:type="spellStart"/>
      <w:r w:rsidRPr="006F52E2">
        <w:rPr>
          <w:rFonts w:ascii="Arial" w:hAnsi="Arial" w:cs="Arial"/>
          <w:sz w:val="20"/>
          <w:szCs w:val="20"/>
        </w:rPr>
        <w:t>Dalmolín</w:t>
      </w:r>
      <w:proofErr w:type="spellEnd"/>
      <w:r w:rsidRPr="006F52E2">
        <w:rPr>
          <w:rFonts w:ascii="Arial" w:hAnsi="Arial" w:cs="Arial"/>
          <w:sz w:val="20"/>
          <w:szCs w:val="20"/>
        </w:rPr>
        <w:t xml:space="preserve">, G. L.; </w:t>
      </w:r>
      <w:proofErr w:type="spellStart"/>
      <w:r w:rsidRPr="006F52E2">
        <w:rPr>
          <w:rFonts w:ascii="Arial" w:hAnsi="Arial" w:cs="Arial"/>
          <w:sz w:val="20"/>
          <w:szCs w:val="20"/>
        </w:rPr>
        <w:t>Lerch</w:t>
      </w:r>
      <w:proofErr w:type="spellEnd"/>
      <w:r w:rsidRPr="006F52E2">
        <w:rPr>
          <w:rFonts w:ascii="Arial" w:hAnsi="Arial" w:cs="Arial"/>
          <w:sz w:val="20"/>
          <w:szCs w:val="20"/>
        </w:rPr>
        <w:t xml:space="preserve">, V.; </w:t>
      </w:r>
      <w:proofErr w:type="spellStart"/>
      <w:r w:rsidRPr="006F52E2">
        <w:rPr>
          <w:rFonts w:ascii="Arial" w:hAnsi="Arial" w:cs="Arial"/>
          <w:sz w:val="20"/>
          <w:szCs w:val="20"/>
        </w:rPr>
        <w:t>Lerch</w:t>
      </w:r>
      <w:proofErr w:type="spellEnd"/>
      <w:r w:rsidRPr="006F52E2">
        <w:rPr>
          <w:rFonts w:ascii="Arial" w:hAnsi="Arial" w:cs="Arial"/>
          <w:sz w:val="20"/>
          <w:szCs w:val="20"/>
        </w:rPr>
        <w:t xml:space="preserve">, G.; </w:t>
      </w:r>
      <w:proofErr w:type="spellStart"/>
      <w:r w:rsidRPr="006F52E2">
        <w:rPr>
          <w:rFonts w:ascii="Arial" w:hAnsi="Arial" w:cs="Arial"/>
          <w:sz w:val="20"/>
          <w:szCs w:val="20"/>
        </w:rPr>
        <w:t>Devos</w:t>
      </w:r>
      <w:proofErr w:type="spellEnd"/>
      <w:r w:rsidRPr="006F52E2">
        <w:rPr>
          <w:rFonts w:ascii="Arial" w:hAnsi="Arial" w:cs="Arial"/>
          <w:sz w:val="20"/>
          <w:szCs w:val="20"/>
        </w:rPr>
        <w:t>, E. L. y Silva, R. (2014).Sufrimiento moral y síndrome de Burnout: ¿Están relacionados esos dos fenómenos en los trabajadores de enfermería</w:t>
      </w:r>
      <w:proofErr w:type="gramStart"/>
      <w:r w:rsidRPr="006F52E2">
        <w:rPr>
          <w:rFonts w:ascii="Arial" w:hAnsi="Arial" w:cs="Arial"/>
          <w:sz w:val="20"/>
          <w:szCs w:val="20"/>
        </w:rPr>
        <w:t>?</w:t>
      </w:r>
      <w:r w:rsidRPr="006F52E2">
        <w:rPr>
          <w:rFonts w:ascii="Arial" w:hAnsi="Arial" w:cs="Arial"/>
          <w:i/>
          <w:sz w:val="20"/>
          <w:szCs w:val="20"/>
        </w:rPr>
        <w:t>Revista</w:t>
      </w:r>
      <w:proofErr w:type="gramEnd"/>
      <w:r w:rsidRPr="006F52E2">
        <w:rPr>
          <w:rFonts w:ascii="Arial" w:hAnsi="Arial" w:cs="Arial"/>
          <w:i/>
          <w:sz w:val="20"/>
          <w:szCs w:val="20"/>
        </w:rPr>
        <w:t xml:space="preserve"> Latino-Americana de </w:t>
      </w:r>
      <w:proofErr w:type="spellStart"/>
      <w:r w:rsidRPr="006F52E2">
        <w:rPr>
          <w:rFonts w:ascii="Arial" w:hAnsi="Arial" w:cs="Arial"/>
          <w:i/>
          <w:sz w:val="20"/>
          <w:szCs w:val="20"/>
        </w:rPr>
        <w:t>Enfermagem</w:t>
      </w:r>
      <w:proofErr w:type="spellEnd"/>
      <w:r w:rsidRPr="006F52E2">
        <w:rPr>
          <w:rFonts w:ascii="Arial" w:hAnsi="Arial" w:cs="Arial"/>
          <w:sz w:val="20"/>
          <w:szCs w:val="20"/>
        </w:rPr>
        <w:t>, 22(1), 1-8.</w:t>
      </w:r>
    </w:p>
    <w:p w:rsidR="003B75C1" w:rsidRPr="006F52E2" w:rsidRDefault="003B75C1" w:rsidP="003451FA">
      <w:pPr>
        <w:spacing w:after="0" w:line="240" w:lineRule="auto"/>
        <w:ind w:left="709" w:hanging="709"/>
        <w:jc w:val="both"/>
        <w:rPr>
          <w:rFonts w:ascii="Arial" w:hAnsi="Arial" w:cs="Arial"/>
          <w:sz w:val="20"/>
          <w:szCs w:val="20"/>
        </w:rPr>
      </w:pPr>
      <w:r w:rsidRPr="006F52E2">
        <w:rPr>
          <w:rFonts w:ascii="Arial" w:hAnsi="Arial" w:cs="Arial"/>
          <w:sz w:val="20"/>
          <w:szCs w:val="20"/>
        </w:rPr>
        <w:t xml:space="preserve">Flores, N.; Jenaro, C.; Cruz, M.; Vega, V.y Pérez, M. C. (2013). Síndrome de burnout y calidad de vida laboral en profesionales de servicios sanitarios. </w:t>
      </w:r>
      <w:r w:rsidRPr="006F52E2">
        <w:rPr>
          <w:rFonts w:ascii="Arial" w:hAnsi="Arial" w:cs="Arial"/>
          <w:i/>
          <w:sz w:val="20"/>
          <w:szCs w:val="20"/>
        </w:rPr>
        <w:t>Pensando Psicología</w:t>
      </w:r>
      <w:r w:rsidRPr="006F52E2">
        <w:rPr>
          <w:rFonts w:ascii="Arial" w:hAnsi="Arial" w:cs="Arial"/>
          <w:sz w:val="20"/>
          <w:szCs w:val="20"/>
        </w:rPr>
        <w:t>, 9(16), 7-21.</w:t>
      </w:r>
    </w:p>
    <w:p w:rsidR="00902C84" w:rsidRPr="006F52E2" w:rsidRDefault="00902C84" w:rsidP="003451FA">
      <w:pPr>
        <w:spacing w:after="0" w:line="240" w:lineRule="auto"/>
        <w:ind w:left="709" w:hanging="709"/>
        <w:jc w:val="both"/>
        <w:rPr>
          <w:rFonts w:ascii="Arial" w:hAnsi="Arial" w:cs="Arial"/>
          <w:sz w:val="20"/>
          <w:szCs w:val="20"/>
        </w:rPr>
      </w:pPr>
      <w:proofErr w:type="spellStart"/>
      <w:r w:rsidRPr="006F52E2">
        <w:rPr>
          <w:rFonts w:ascii="Arial" w:hAnsi="Arial" w:cs="Arial"/>
          <w:sz w:val="20"/>
          <w:szCs w:val="20"/>
        </w:rPr>
        <w:t>Guarino</w:t>
      </w:r>
      <w:proofErr w:type="spellEnd"/>
      <w:r w:rsidRPr="006F52E2">
        <w:rPr>
          <w:rFonts w:ascii="Arial" w:hAnsi="Arial" w:cs="Arial"/>
          <w:sz w:val="20"/>
          <w:szCs w:val="20"/>
        </w:rPr>
        <w:t xml:space="preserve">, L.; </w:t>
      </w:r>
      <w:proofErr w:type="spellStart"/>
      <w:r w:rsidRPr="006F52E2">
        <w:rPr>
          <w:rFonts w:ascii="Arial" w:hAnsi="Arial" w:cs="Arial"/>
          <w:sz w:val="20"/>
          <w:szCs w:val="20"/>
        </w:rPr>
        <w:t>Scremin</w:t>
      </w:r>
      <w:proofErr w:type="spellEnd"/>
      <w:r w:rsidRPr="006F52E2">
        <w:rPr>
          <w:rFonts w:ascii="Arial" w:hAnsi="Arial" w:cs="Arial"/>
          <w:sz w:val="20"/>
          <w:szCs w:val="20"/>
        </w:rPr>
        <w:t>, F. y</w:t>
      </w:r>
      <w:r w:rsidR="006F52E2">
        <w:rPr>
          <w:rFonts w:ascii="Arial" w:hAnsi="Arial" w:cs="Arial"/>
          <w:sz w:val="20"/>
          <w:szCs w:val="20"/>
        </w:rPr>
        <w:t xml:space="preserve"> </w:t>
      </w:r>
      <w:proofErr w:type="spellStart"/>
      <w:r w:rsidRPr="006F52E2">
        <w:rPr>
          <w:rFonts w:ascii="Arial" w:hAnsi="Arial" w:cs="Arial"/>
          <w:sz w:val="20"/>
          <w:szCs w:val="20"/>
        </w:rPr>
        <w:t>Borrás</w:t>
      </w:r>
      <w:proofErr w:type="spellEnd"/>
      <w:r w:rsidRPr="006F52E2">
        <w:rPr>
          <w:rFonts w:ascii="Arial" w:hAnsi="Arial" w:cs="Arial"/>
          <w:sz w:val="20"/>
          <w:szCs w:val="20"/>
        </w:rPr>
        <w:t xml:space="preserve">, S. (2013).  Nivel de información y apoyo social como </w:t>
      </w:r>
      <w:proofErr w:type="spellStart"/>
      <w:r w:rsidRPr="006F52E2">
        <w:rPr>
          <w:rFonts w:ascii="Arial" w:hAnsi="Arial" w:cs="Arial"/>
          <w:sz w:val="20"/>
          <w:szCs w:val="20"/>
        </w:rPr>
        <w:t>predictoras</w:t>
      </w:r>
      <w:proofErr w:type="spellEnd"/>
      <w:r w:rsidRPr="006F52E2">
        <w:rPr>
          <w:rFonts w:ascii="Arial" w:hAnsi="Arial" w:cs="Arial"/>
          <w:sz w:val="20"/>
          <w:szCs w:val="20"/>
        </w:rPr>
        <w:t xml:space="preserve"> de la salud y calidad de vida durante el embarazo. </w:t>
      </w:r>
      <w:proofErr w:type="spellStart"/>
      <w:r w:rsidRPr="006F52E2">
        <w:rPr>
          <w:rFonts w:ascii="Arial" w:hAnsi="Arial" w:cs="Arial"/>
          <w:i/>
          <w:sz w:val="20"/>
          <w:szCs w:val="20"/>
        </w:rPr>
        <w:t>Psychologia</w:t>
      </w:r>
      <w:proofErr w:type="spellEnd"/>
      <w:r w:rsidRPr="006F52E2">
        <w:rPr>
          <w:rFonts w:ascii="Arial" w:hAnsi="Arial" w:cs="Arial"/>
          <w:i/>
          <w:sz w:val="20"/>
          <w:szCs w:val="20"/>
        </w:rPr>
        <w:t>: avances de la disciplina</w:t>
      </w:r>
      <w:r w:rsidRPr="006F52E2">
        <w:rPr>
          <w:rFonts w:ascii="Arial" w:hAnsi="Arial" w:cs="Arial"/>
          <w:sz w:val="20"/>
          <w:szCs w:val="20"/>
        </w:rPr>
        <w:t>, 7(1), 13-21.</w:t>
      </w:r>
    </w:p>
    <w:p w:rsidR="00B45A26" w:rsidRPr="006F52E2" w:rsidRDefault="00B45A26" w:rsidP="00B45A26">
      <w:pPr>
        <w:spacing w:after="0" w:line="240" w:lineRule="auto"/>
        <w:ind w:left="709" w:hanging="709"/>
        <w:jc w:val="both"/>
        <w:rPr>
          <w:rFonts w:ascii="Arial" w:hAnsi="Arial" w:cs="Arial"/>
          <w:sz w:val="20"/>
          <w:szCs w:val="20"/>
        </w:rPr>
      </w:pPr>
      <w:r w:rsidRPr="006F52E2">
        <w:rPr>
          <w:rFonts w:ascii="Arial" w:hAnsi="Arial" w:cs="Arial"/>
          <w:sz w:val="20"/>
          <w:szCs w:val="20"/>
        </w:rPr>
        <w:t xml:space="preserve">Jiménez, A. E.; Jara, M. J. y Miranda, E. R. (2012). Burnout, apoyo social y satisfacción laboral en docentes. </w:t>
      </w:r>
      <w:r w:rsidRPr="006F52E2">
        <w:rPr>
          <w:rFonts w:ascii="Arial" w:hAnsi="Arial" w:cs="Arial"/>
          <w:i/>
          <w:sz w:val="20"/>
          <w:szCs w:val="20"/>
        </w:rPr>
        <w:t xml:space="preserve">Revista Semestral da </w:t>
      </w:r>
      <w:proofErr w:type="spellStart"/>
      <w:r w:rsidRPr="006F52E2">
        <w:rPr>
          <w:rFonts w:ascii="Arial" w:hAnsi="Arial" w:cs="Arial"/>
          <w:i/>
          <w:sz w:val="20"/>
          <w:szCs w:val="20"/>
        </w:rPr>
        <w:t>Associação</w:t>
      </w:r>
      <w:proofErr w:type="spellEnd"/>
      <w:r w:rsidRPr="006F52E2">
        <w:rPr>
          <w:rFonts w:ascii="Arial" w:hAnsi="Arial" w:cs="Arial"/>
          <w:i/>
          <w:sz w:val="20"/>
          <w:szCs w:val="20"/>
        </w:rPr>
        <w:t xml:space="preserve"> Brasileira de </w:t>
      </w:r>
      <w:proofErr w:type="spellStart"/>
      <w:r w:rsidRPr="006F52E2">
        <w:rPr>
          <w:rFonts w:ascii="Arial" w:hAnsi="Arial" w:cs="Arial"/>
          <w:i/>
          <w:sz w:val="20"/>
          <w:szCs w:val="20"/>
        </w:rPr>
        <w:t>Psicologia</w:t>
      </w:r>
      <w:proofErr w:type="spellEnd"/>
      <w:r w:rsidRPr="006F52E2">
        <w:rPr>
          <w:rFonts w:ascii="Arial" w:hAnsi="Arial" w:cs="Arial"/>
          <w:i/>
          <w:sz w:val="20"/>
          <w:szCs w:val="20"/>
        </w:rPr>
        <w:t xml:space="preserve"> Escolar e Educacional</w:t>
      </w:r>
      <w:r w:rsidRPr="006F52E2">
        <w:rPr>
          <w:rFonts w:ascii="Arial" w:hAnsi="Arial" w:cs="Arial"/>
          <w:sz w:val="20"/>
          <w:szCs w:val="20"/>
        </w:rPr>
        <w:t>, SP. 16(1), 125-134.</w:t>
      </w:r>
    </w:p>
    <w:p w:rsidR="00E83037" w:rsidRPr="006F52E2" w:rsidRDefault="00E83037" w:rsidP="000624B2">
      <w:pPr>
        <w:spacing w:after="0" w:line="240" w:lineRule="auto"/>
        <w:ind w:left="709" w:hanging="709"/>
        <w:jc w:val="both"/>
        <w:rPr>
          <w:rFonts w:ascii="Arial" w:hAnsi="Arial" w:cs="Arial"/>
          <w:sz w:val="20"/>
          <w:szCs w:val="20"/>
          <w:lang w:val="en-US"/>
        </w:rPr>
      </w:pPr>
      <w:proofErr w:type="spellStart"/>
      <w:r w:rsidRPr="006F52E2">
        <w:rPr>
          <w:rFonts w:ascii="Arial" w:hAnsi="Arial" w:cs="Arial"/>
          <w:sz w:val="20"/>
          <w:szCs w:val="20"/>
          <w:lang w:val="en-US"/>
        </w:rPr>
        <w:t>Maslach</w:t>
      </w:r>
      <w:proofErr w:type="spellEnd"/>
      <w:r w:rsidRPr="006F52E2">
        <w:rPr>
          <w:rFonts w:ascii="Arial" w:hAnsi="Arial" w:cs="Arial"/>
          <w:sz w:val="20"/>
          <w:szCs w:val="20"/>
          <w:lang w:val="en-US"/>
        </w:rPr>
        <w:t xml:space="preserve">, C. y Jackson, S. (1981). </w:t>
      </w:r>
      <w:proofErr w:type="gramStart"/>
      <w:r w:rsidRPr="006F52E2">
        <w:rPr>
          <w:rFonts w:ascii="Arial" w:hAnsi="Arial" w:cs="Arial"/>
          <w:sz w:val="20"/>
          <w:szCs w:val="20"/>
          <w:lang w:val="en-US"/>
        </w:rPr>
        <w:t xml:space="preserve">The measurement of experienced </w:t>
      </w:r>
      <w:proofErr w:type="spellStart"/>
      <w:r w:rsidRPr="006F52E2">
        <w:rPr>
          <w:rFonts w:ascii="Arial" w:hAnsi="Arial" w:cs="Arial"/>
          <w:sz w:val="20"/>
          <w:szCs w:val="20"/>
          <w:lang w:val="en-US"/>
        </w:rPr>
        <w:t>burnout.</w:t>
      </w:r>
      <w:r w:rsidRPr="006F52E2">
        <w:rPr>
          <w:rFonts w:ascii="Arial" w:hAnsi="Arial" w:cs="Arial"/>
          <w:i/>
          <w:sz w:val="20"/>
          <w:szCs w:val="20"/>
          <w:lang w:val="en-US"/>
        </w:rPr>
        <w:t>Journal</w:t>
      </w:r>
      <w:proofErr w:type="spellEnd"/>
      <w:r w:rsidRPr="006F52E2">
        <w:rPr>
          <w:rFonts w:ascii="Arial" w:hAnsi="Arial" w:cs="Arial"/>
          <w:i/>
          <w:sz w:val="20"/>
          <w:szCs w:val="20"/>
          <w:lang w:val="en-US"/>
        </w:rPr>
        <w:t xml:space="preserve"> of Social Issues,</w:t>
      </w:r>
      <w:r w:rsidRPr="006F52E2">
        <w:rPr>
          <w:rFonts w:ascii="Arial" w:hAnsi="Arial" w:cs="Arial"/>
          <w:sz w:val="20"/>
          <w:szCs w:val="20"/>
          <w:lang w:val="en-US"/>
        </w:rPr>
        <w:t xml:space="preserve"> 2, 99-113.</w:t>
      </w:r>
      <w:proofErr w:type="gramEnd"/>
    </w:p>
    <w:p w:rsidR="000624B2" w:rsidRPr="006F52E2" w:rsidRDefault="000624B2" w:rsidP="000624B2">
      <w:pPr>
        <w:spacing w:after="0" w:line="240" w:lineRule="auto"/>
        <w:ind w:left="709" w:hanging="709"/>
        <w:jc w:val="both"/>
        <w:rPr>
          <w:rFonts w:ascii="Arial" w:hAnsi="Arial" w:cs="Arial"/>
          <w:sz w:val="20"/>
          <w:szCs w:val="20"/>
        </w:rPr>
      </w:pPr>
      <w:r w:rsidRPr="006F52E2">
        <w:rPr>
          <w:rFonts w:ascii="Arial" w:hAnsi="Arial" w:cs="Arial"/>
          <w:sz w:val="20"/>
          <w:szCs w:val="20"/>
        </w:rPr>
        <w:t xml:space="preserve">Pedrosa, I. y García, E. (2014). Estudio del síndrome de burnout en deportistas: prevalencia y relación con el esquema corporal. </w:t>
      </w:r>
      <w:proofErr w:type="spellStart"/>
      <w:r w:rsidRPr="006F52E2">
        <w:rPr>
          <w:rFonts w:ascii="Arial" w:hAnsi="Arial" w:cs="Arial"/>
          <w:i/>
          <w:sz w:val="20"/>
          <w:szCs w:val="20"/>
        </w:rPr>
        <w:t>UniversitasPsychologica</w:t>
      </w:r>
      <w:proofErr w:type="spellEnd"/>
      <w:r w:rsidRPr="006F52E2">
        <w:rPr>
          <w:rFonts w:ascii="Arial" w:hAnsi="Arial" w:cs="Arial"/>
          <w:sz w:val="20"/>
          <w:szCs w:val="20"/>
        </w:rPr>
        <w:t>, 13(1), s/p.</w:t>
      </w:r>
    </w:p>
    <w:p w:rsidR="00444EA0" w:rsidRPr="006F52E2" w:rsidRDefault="00444EA0" w:rsidP="005A7E60">
      <w:pPr>
        <w:spacing w:after="0" w:line="240" w:lineRule="auto"/>
        <w:ind w:left="709" w:hanging="709"/>
        <w:jc w:val="both"/>
        <w:rPr>
          <w:rFonts w:ascii="Arial" w:hAnsi="Arial" w:cs="Arial"/>
          <w:sz w:val="20"/>
          <w:szCs w:val="20"/>
          <w:lang w:val="en-GB"/>
        </w:rPr>
      </w:pPr>
      <w:r w:rsidRPr="006F52E2">
        <w:rPr>
          <w:rFonts w:ascii="Arial" w:hAnsi="Arial" w:cs="Arial"/>
          <w:sz w:val="20"/>
          <w:szCs w:val="20"/>
        </w:rPr>
        <w:t xml:space="preserve">Pines, A.; </w:t>
      </w:r>
      <w:proofErr w:type="spellStart"/>
      <w:r w:rsidRPr="006F52E2">
        <w:rPr>
          <w:rFonts w:ascii="Arial" w:hAnsi="Arial" w:cs="Arial"/>
          <w:sz w:val="20"/>
          <w:szCs w:val="20"/>
        </w:rPr>
        <w:t>Aronson</w:t>
      </w:r>
      <w:proofErr w:type="spellEnd"/>
      <w:r w:rsidRPr="006F52E2">
        <w:rPr>
          <w:rFonts w:ascii="Arial" w:hAnsi="Arial" w:cs="Arial"/>
          <w:sz w:val="20"/>
          <w:szCs w:val="20"/>
        </w:rPr>
        <w:t xml:space="preserve">, E. y </w:t>
      </w:r>
      <w:proofErr w:type="spellStart"/>
      <w:r w:rsidRPr="006F52E2">
        <w:rPr>
          <w:rFonts w:ascii="Arial" w:hAnsi="Arial" w:cs="Arial"/>
          <w:sz w:val="20"/>
          <w:szCs w:val="20"/>
        </w:rPr>
        <w:t>Kafry</w:t>
      </w:r>
      <w:proofErr w:type="spellEnd"/>
      <w:r w:rsidRPr="006F52E2">
        <w:rPr>
          <w:rFonts w:ascii="Arial" w:hAnsi="Arial" w:cs="Arial"/>
          <w:sz w:val="20"/>
          <w:szCs w:val="20"/>
        </w:rPr>
        <w:t xml:space="preserve">, D. (1981). </w:t>
      </w:r>
      <w:proofErr w:type="gramStart"/>
      <w:r w:rsidRPr="006F52E2">
        <w:rPr>
          <w:rFonts w:ascii="Arial" w:hAnsi="Arial" w:cs="Arial"/>
          <w:i/>
          <w:sz w:val="20"/>
          <w:szCs w:val="20"/>
          <w:lang w:val="en-GB"/>
        </w:rPr>
        <w:t>Burnout.</w:t>
      </w:r>
      <w:proofErr w:type="gramEnd"/>
      <w:r w:rsidRPr="006F52E2">
        <w:rPr>
          <w:rFonts w:ascii="Arial" w:hAnsi="Arial" w:cs="Arial"/>
          <w:sz w:val="20"/>
          <w:szCs w:val="20"/>
          <w:lang w:val="en-GB"/>
        </w:rPr>
        <w:t xml:space="preserve"> New York, USA: The Free Press</w:t>
      </w:r>
    </w:p>
    <w:p w:rsidR="005A7E60" w:rsidRPr="006F52E2" w:rsidRDefault="005A7E60" w:rsidP="005A7E60">
      <w:pPr>
        <w:spacing w:after="0" w:line="240" w:lineRule="auto"/>
        <w:ind w:left="709" w:hanging="709"/>
        <w:jc w:val="both"/>
        <w:rPr>
          <w:rFonts w:ascii="Arial" w:hAnsi="Arial" w:cs="Arial"/>
          <w:sz w:val="20"/>
          <w:szCs w:val="20"/>
        </w:rPr>
      </w:pPr>
      <w:r w:rsidRPr="006F52E2">
        <w:rPr>
          <w:rFonts w:ascii="Arial" w:hAnsi="Arial" w:cs="Arial"/>
          <w:sz w:val="20"/>
          <w:szCs w:val="20"/>
        </w:rPr>
        <w:t xml:space="preserve">Ríos, M. I.; Carrillo, C. y Sabuco, E. (2012). </w:t>
      </w:r>
      <w:proofErr w:type="spellStart"/>
      <w:r w:rsidRPr="006F52E2">
        <w:rPr>
          <w:rFonts w:ascii="Arial" w:hAnsi="Arial" w:cs="Arial"/>
          <w:sz w:val="20"/>
          <w:szCs w:val="20"/>
        </w:rPr>
        <w:t>Resiliencia</w:t>
      </w:r>
      <w:proofErr w:type="spellEnd"/>
      <w:r w:rsidRPr="006F52E2">
        <w:rPr>
          <w:rFonts w:ascii="Arial" w:hAnsi="Arial" w:cs="Arial"/>
          <w:sz w:val="20"/>
          <w:szCs w:val="20"/>
        </w:rPr>
        <w:t xml:space="preserve"> y Síndrome de Burnout en estudiantes de enfermería y su relación con variables sociodemográficas y de relación interpersonal. </w:t>
      </w:r>
      <w:r w:rsidRPr="006F52E2">
        <w:rPr>
          <w:rFonts w:ascii="Arial" w:hAnsi="Arial" w:cs="Arial"/>
          <w:i/>
          <w:sz w:val="20"/>
          <w:szCs w:val="20"/>
        </w:rPr>
        <w:t xml:space="preserve">International </w:t>
      </w:r>
      <w:proofErr w:type="spellStart"/>
      <w:r w:rsidRPr="006F52E2">
        <w:rPr>
          <w:rFonts w:ascii="Arial" w:hAnsi="Arial" w:cs="Arial"/>
          <w:i/>
          <w:sz w:val="20"/>
          <w:szCs w:val="20"/>
        </w:rPr>
        <w:t>Journal</w:t>
      </w:r>
      <w:proofErr w:type="spellEnd"/>
      <w:r w:rsidRPr="006F52E2">
        <w:rPr>
          <w:rFonts w:ascii="Arial" w:hAnsi="Arial" w:cs="Arial"/>
          <w:i/>
          <w:sz w:val="20"/>
          <w:szCs w:val="20"/>
        </w:rPr>
        <w:t xml:space="preserve"> of </w:t>
      </w:r>
      <w:proofErr w:type="spellStart"/>
      <w:r w:rsidRPr="006F52E2">
        <w:rPr>
          <w:rFonts w:ascii="Arial" w:hAnsi="Arial" w:cs="Arial"/>
          <w:i/>
          <w:sz w:val="20"/>
          <w:szCs w:val="20"/>
        </w:rPr>
        <w:t>Psychological</w:t>
      </w:r>
      <w:proofErr w:type="spellEnd"/>
      <w:r w:rsidRPr="006F52E2">
        <w:rPr>
          <w:rFonts w:ascii="Arial" w:hAnsi="Arial" w:cs="Arial"/>
          <w:i/>
          <w:sz w:val="20"/>
          <w:szCs w:val="20"/>
        </w:rPr>
        <w:t xml:space="preserve"> </w:t>
      </w:r>
      <w:proofErr w:type="spellStart"/>
      <w:r w:rsidRPr="006F52E2">
        <w:rPr>
          <w:rFonts w:ascii="Arial" w:hAnsi="Arial" w:cs="Arial"/>
          <w:i/>
          <w:sz w:val="20"/>
          <w:szCs w:val="20"/>
        </w:rPr>
        <w:t>Research</w:t>
      </w:r>
      <w:proofErr w:type="spellEnd"/>
      <w:r w:rsidRPr="006F52E2">
        <w:rPr>
          <w:rFonts w:ascii="Arial" w:hAnsi="Arial" w:cs="Arial"/>
          <w:i/>
          <w:sz w:val="20"/>
          <w:szCs w:val="20"/>
        </w:rPr>
        <w:t>,</w:t>
      </w:r>
      <w:r w:rsidRPr="006F52E2">
        <w:rPr>
          <w:rFonts w:ascii="Arial" w:hAnsi="Arial" w:cs="Arial"/>
          <w:sz w:val="20"/>
          <w:szCs w:val="20"/>
        </w:rPr>
        <w:t xml:space="preserve"> 5(1), 88-95.</w:t>
      </w:r>
    </w:p>
    <w:p w:rsidR="0033530A" w:rsidRPr="006F52E2" w:rsidRDefault="0033530A" w:rsidP="0033530A">
      <w:pPr>
        <w:spacing w:after="0" w:line="240" w:lineRule="auto"/>
        <w:ind w:left="709" w:hanging="709"/>
        <w:jc w:val="both"/>
        <w:rPr>
          <w:rFonts w:ascii="Arial" w:hAnsi="Arial" w:cs="Arial"/>
          <w:sz w:val="20"/>
          <w:szCs w:val="20"/>
        </w:rPr>
      </w:pPr>
      <w:r w:rsidRPr="006F52E2">
        <w:rPr>
          <w:rFonts w:ascii="Arial" w:hAnsi="Arial" w:cs="Arial"/>
          <w:sz w:val="20"/>
          <w:szCs w:val="20"/>
        </w:rPr>
        <w:t xml:space="preserve">San Martín, J. L. y Barra, E. (2013). Autoestima, Apoyo Social y Satisfacción Vital en Adolescentes. </w:t>
      </w:r>
      <w:r w:rsidRPr="006F52E2">
        <w:rPr>
          <w:rFonts w:ascii="Arial" w:hAnsi="Arial" w:cs="Arial"/>
          <w:i/>
          <w:sz w:val="20"/>
          <w:szCs w:val="20"/>
        </w:rPr>
        <w:t>Terapia psicológica,</w:t>
      </w:r>
      <w:r w:rsidRPr="006F52E2">
        <w:rPr>
          <w:rFonts w:ascii="Arial" w:hAnsi="Arial" w:cs="Arial"/>
          <w:sz w:val="20"/>
          <w:szCs w:val="20"/>
        </w:rPr>
        <w:t xml:space="preserve"> 31(3), 287-291.</w:t>
      </w:r>
    </w:p>
    <w:p w:rsidR="00902C84" w:rsidRPr="006F52E2" w:rsidRDefault="00902C84" w:rsidP="0033530A">
      <w:pPr>
        <w:spacing w:after="0" w:line="240" w:lineRule="auto"/>
        <w:ind w:left="709" w:hanging="709"/>
        <w:jc w:val="both"/>
        <w:rPr>
          <w:rFonts w:ascii="Arial" w:hAnsi="Arial" w:cs="Arial"/>
          <w:sz w:val="20"/>
          <w:szCs w:val="20"/>
        </w:rPr>
      </w:pPr>
      <w:proofErr w:type="spellStart"/>
      <w:r w:rsidRPr="006F52E2">
        <w:rPr>
          <w:rFonts w:ascii="Arial" w:hAnsi="Arial" w:cs="Arial"/>
          <w:sz w:val="20"/>
          <w:szCs w:val="20"/>
        </w:rPr>
        <w:t>Santes</w:t>
      </w:r>
      <w:proofErr w:type="spellEnd"/>
      <w:r w:rsidRPr="006F52E2">
        <w:rPr>
          <w:rFonts w:ascii="Arial" w:hAnsi="Arial" w:cs="Arial"/>
          <w:sz w:val="20"/>
          <w:szCs w:val="20"/>
        </w:rPr>
        <w:t xml:space="preserve">, M. C.; Meléndez, S.; Martínez, N.; Ramos, I.; Preciado, M. L. y Pando, M. (2009). La salud mental y predisposición a síndrome de burnout en estudiantes de enfermería. </w:t>
      </w:r>
      <w:r w:rsidRPr="006F52E2">
        <w:rPr>
          <w:rFonts w:ascii="Arial" w:hAnsi="Arial" w:cs="Arial"/>
          <w:i/>
          <w:sz w:val="20"/>
          <w:szCs w:val="20"/>
        </w:rPr>
        <w:t>Revista Chilena de Salud Pública</w:t>
      </w:r>
      <w:r w:rsidRPr="006F52E2">
        <w:rPr>
          <w:rFonts w:ascii="Arial" w:hAnsi="Arial" w:cs="Arial"/>
          <w:sz w:val="20"/>
          <w:szCs w:val="20"/>
        </w:rPr>
        <w:t>, 13(1), 23-29.</w:t>
      </w:r>
    </w:p>
    <w:p w:rsidR="0033530A" w:rsidRPr="006F52E2" w:rsidRDefault="0033530A" w:rsidP="00952C43">
      <w:pPr>
        <w:spacing w:after="0" w:line="240" w:lineRule="auto"/>
        <w:ind w:left="709" w:hanging="709"/>
        <w:jc w:val="both"/>
        <w:rPr>
          <w:rFonts w:ascii="Arial" w:hAnsi="Arial" w:cs="Arial"/>
          <w:sz w:val="20"/>
          <w:szCs w:val="20"/>
        </w:rPr>
      </w:pPr>
    </w:p>
    <w:p w:rsidR="00952C43" w:rsidRPr="006F52E2" w:rsidRDefault="00952C43" w:rsidP="00952C43">
      <w:pPr>
        <w:spacing w:after="0" w:line="240" w:lineRule="auto"/>
        <w:ind w:left="709" w:hanging="709"/>
        <w:jc w:val="both"/>
        <w:rPr>
          <w:rFonts w:ascii="Arial" w:hAnsi="Arial" w:cs="Arial"/>
          <w:sz w:val="20"/>
          <w:szCs w:val="20"/>
        </w:rPr>
      </w:pPr>
    </w:p>
    <w:p w:rsidR="00952C43" w:rsidRPr="006F52E2" w:rsidRDefault="00952C43" w:rsidP="001C532D">
      <w:pPr>
        <w:spacing w:after="0" w:line="240" w:lineRule="auto"/>
        <w:ind w:left="709" w:hanging="709"/>
        <w:rPr>
          <w:rFonts w:ascii="Arial" w:hAnsi="Arial" w:cs="Arial"/>
          <w:sz w:val="20"/>
          <w:szCs w:val="20"/>
        </w:rPr>
      </w:pPr>
    </w:p>
    <w:p w:rsidR="006F52E2" w:rsidRPr="006F52E2" w:rsidRDefault="006F52E2">
      <w:pPr>
        <w:spacing w:after="0" w:line="240" w:lineRule="auto"/>
        <w:ind w:left="709" w:hanging="709"/>
        <w:rPr>
          <w:rFonts w:ascii="Arial" w:hAnsi="Arial" w:cs="Arial"/>
          <w:sz w:val="20"/>
          <w:szCs w:val="20"/>
        </w:rPr>
      </w:pPr>
    </w:p>
    <w:sectPr w:rsidR="006F52E2" w:rsidRPr="006F52E2" w:rsidSect="006F6A43">
      <w:pgSz w:w="12240" w:h="15840"/>
      <w:pgMar w:top="1418" w:right="1418"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366AF"/>
    <w:multiLevelType w:val="hybridMultilevel"/>
    <w:tmpl w:val="11206F9E"/>
    <w:lvl w:ilvl="0" w:tplc="78C82F32">
      <w:start w:val="1"/>
      <w:numFmt w:val="decimal"/>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1B88573E"/>
    <w:multiLevelType w:val="hybridMultilevel"/>
    <w:tmpl w:val="559CCED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E6C39F9"/>
    <w:multiLevelType w:val="hybridMultilevel"/>
    <w:tmpl w:val="82546A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3DAA5CAB"/>
    <w:multiLevelType w:val="hybridMultilevel"/>
    <w:tmpl w:val="B4F6D2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45FA44D6"/>
    <w:multiLevelType w:val="hybridMultilevel"/>
    <w:tmpl w:val="F5208C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503E256B"/>
    <w:multiLevelType w:val="hybridMultilevel"/>
    <w:tmpl w:val="813076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77CE5C97"/>
    <w:multiLevelType w:val="hybridMultilevel"/>
    <w:tmpl w:val="AE2AF87A"/>
    <w:lvl w:ilvl="0" w:tplc="040A000F">
      <w:start w:val="1"/>
      <w:numFmt w:val="decimal"/>
      <w:lvlText w:val="%1."/>
      <w:lvlJc w:val="left"/>
      <w:pPr>
        <w:tabs>
          <w:tab w:val="num" w:pos="720"/>
        </w:tabs>
        <w:ind w:left="720" w:hanging="360"/>
      </w:p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num w:numId="1">
    <w:abstractNumId w:val="1"/>
  </w:num>
  <w:num w:numId="2">
    <w:abstractNumId w:val="6"/>
  </w:num>
  <w:num w:numId="3">
    <w:abstractNumId w:val="2"/>
  </w:num>
  <w:num w:numId="4">
    <w:abstractNumId w:val="5"/>
  </w:num>
  <w:num w:numId="5">
    <w:abstractNumId w:val="0"/>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2"/>
  </w:compat>
  <w:rsids>
    <w:rsidRoot w:val="00036708"/>
    <w:rsid w:val="00036708"/>
    <w:rsid w:val="000624B2"/>
    <w:rsid w:val="000C4278"/>
    <w:rsid w:val="000D2BA5"/>
    <w:rsid w:val="00101052"/>
    <w:rsid w:val="001179B8"/>
    <w:rsid w:val="00144784"/>
    <w:rsid w:val="001540B6"/>
    <w:rsid w:val="00154914"/>
    <w:rsid w:val="00157525"/>
    <w:rsid w:val="00175490"/>
    <w:rsid w:val="00190102"/>
    <w:rsid w:val="001B3525"/>
    <w:rsid w:val="001C532D"/>
    <w:rsid w:val="001D0D46"/>
    <w:rsid w:val="0021609F"/>
    <w:rsid w:val="0023412C"/>
    <w:rsid w:val="002A6EBC"/>
    <w:rsid w:val="002B5FDC"/>
    <w:rsid w:val="0033530A"/>
    <w:rsid w:val="003451FA"/>
    <w:rsid w:val="00372FEF"/>
    <w:rsid w:val="003A78E5"/>
    <w:rsid w:val="003B75C1"/>
    <w:rsid w:val="00444EA0"/>
    <w:rsid w:val="004C2E42"/>
    <w:rsid w:val="004D09EE"/>
    <w:rsid w:val="004F1663"/>
    <w:rsid w:val="005633E2"/>
    <w:rsid w:val="00584F45"/>
    <w:rsid w:val="005A7E60"/>
    <w:rsid w:val="005F12BA"/>
    <w:rsid w:val="00615C2E"/>
    <w:rsid w:val="006966AD"/>
    <w:rsid w:val="006C05C2"/>
    <w:rsid w:val="006C397E"/>
    <w:rsid w:val="006C3F72"/>
    <w:rsid w:val="006F52E2"/>
    <w:rsid w:val="006F6A43"/>
    <w:rsid w:val="00744143"/>
    <w:rsid w:val="0074624D"/>
    <w:rsid w:val="0075232B"/>
    <w:rsid w:val="007D3BBD"/>
    <w:rsid w:val="008515A4"/>
    <w:rsid w:val="008D6783"/>
    <w:rsid w:val="00901E18"/>
    <w:rsid w:val="00902C84"/>
    <w:rsid w:val="00952C43"/>
    <w:rsid w:val="00967F2A"/>
    <w:rsid w:val="009904F2"/>
    <w:rsid w:val="00993AE3"/>
    <w:rsid w:val="009C3E30"/>
    <w:rsid w:val="00A80F93"/>
    <w:rsid w:val="00A825F1"/>
    <w:rsid w:val="00AA6090"/>
    <w:rsid w:val="00AB21C4"/>
    <w:rsid w:val="00AE2C3F"/>
    <w:rsid w:val="00B45A26"/>
    <w:rsid w:val="00B764F4"/>
    <w:rsid w:val="00BA380E"/>
    <w:rsid w:val="00BA7236"/>
    <w:rsid w:val="00BB7CB2"/>
    <w:rsid w:val="00BC7BAE"/>
    <w:rsid w:val="00BD75AA"/>
    <w:rsid w:val="00BE667B"/>
    <w:rsid w:val="00C34E89"/>
    <w:rsid w:val="00C41418"/>
    <w:rsid w:val="00C533D2"/>
    <w:rsid w:val="00D23B07"/>
    <w:rsid w:val="00D8768F"/>
    <w:rsid w:val="00D905C9"/>
    <w:rsid w:val="00DB6EFA"/>
    <w:rsid w:val="00DE5BDA"/>
    <w:rsid w:val="00E11230"/>
    <w:rsid w:val="00E12DA8"/>
    <w:rsid w:val="00E22B02"/>
    <w:rsid w:val="00E448AE"/>
    <w:rsid w:val="00E76F21"/>
    <w:rsid w:val="00E83037"/>
    <w:rsid w:val="00EB333B"/>
    <w:rsid w:val="00EC4114"/>
    <w:rsid w:val="00F03B17"/>
    <w:rsid w:val="00F27E64"/>
    <w:rsid w:val="00F43084"/>
    <w:rsid w:val="00F74464"/>
    <w:rsid w:val="00F84EAA"/>
    <w:rsid w:val="00FE4445"/>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2BA"/>
  </w:style>
  <w:style w:type="paragraph" w:styleId="Ttulo1">
    <w:name w:val="heading 1"/>
    <w:basedOn w:val="Normal"/>
    <w:next w:val="Normal"/>
    <w:link w:val="Ttulo1Car"/>
    <w:uiPriority w:val="99"/>
    <w:qFormat/>
    <w:rsid w:val="00BA7236"/>
    <w:pPr>
      <w:autoSpaceDE w:val="0"/>
      <w:autoSpaceDN w:val="0"/>
      <w:adjustRightInd w:val="0"/>
      <w:spacing w:after="0" w:line="240" w:lineRule="auto"/>
      <w:outlineLvl w:val="0"/>
    </w:pPr>
    <w:rPr>
      <w:rFonts w:ascii="Courier New" w:hAnsi="Courier New" w:cs="Courier New"/>
      <w:b/>
      <w:bCs/>
      <w:color w:val="000000"/>
      <w:sz w:val="32"/>
      <w:szCs w:val="32"/>
    </w:rPr>
  </w:style>
  <w:style w:type="paragraph" w:styleId="Ttulo2">
    <w:name w:val="heading 2"/>
    <w:basedOn w:val="Normal"/>
    <w:next w:val="Normal"/>
    <w:link w:val="Ttulo2Car"/>
    <w:uiPriority w:val="99"/>
    <w:qFormat/>
    <w:rsid w:val="00BA7236"/>
    <w:pPr>
      <w:autoSpaceDE w:val="0"/>
      <w:autoSpaceDN w:val="0"/>
      <w:adjustRightInd w:val="0"/>
      <w:spacing w:after="0" w:line="240" w:lineRule="auto"/>
      <w:outlineLvl w:val="1"/>
    </w:pPr>
    <w:rPr>
      <w:rFonts w:ascii="Courier New" w:hAnsi="Courier New" w:cs="Courier New"/>
      <w:b/>
      <w:bCs/>
      <w:i/>
      <w:iCs/>
      <w:color w:val="000000"/>
      <w:sz w:val="28"/>
      <w:szCs w:val="28"/>
    </w:rPr>
  </w:style>
  <w:style w:type="paragraph" w:styleId="Ttulo3">
    <w:name w:val="heading 3"/>
    <w:basedOn w:val="Normal"/>
    <w:next w:val="Normal"/>
    <w:link w:val="Ttulo3Car"/>
    <w:uiPriority w:val="99"/>
    <w:qFormat/>
    <w:rsid w:val="00BA7236"/>
    <w:pPr>
      <w:autoSpaceDE w:val="0"/>
      <w:autoSpaceDN w:val="0"/>
      <w:adjustRightInd w:val="0"/>
      <w:spacing w:after="0" w:line="240" w:lineRule="auto"/>
      <w:outlineLvl w:val="2"/>
    </w:pPr>
    <w:rPr>
      <w:rFonts w:ascii="Courier New" w:hAnsi="Courier New" w:cs="Courier New"/>
      <w:b/>
      <w:bCs/>
      <w:color w:val="000000"/>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1540B6"/>
    <w:rPr>
      <w:color w:val="0000FF" w:themeColor="hyperlink"/>
      <w:u w:val="single"/>
    </w:rPr>
  </w:style>
  <w:style w:type="paragraph" w:styleId="Textodeglobo">
    <w:name w:val="Balloon Text"/>
    <w:basedOn w:val="Normal"/>
    <w:link w:val="TextodegloboCar"/>
    <w:uiPriority w:val="99"/>
    <w:semiHidden/>
    <w:unhideWhenUsed/>
    <w:rsid w:val="00967F2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67F2A"/>
    <w:rPr>
      <w:rFonts w:ascii="Tahoma" w:hAnsi="Tahoma" w:cs="Tahoma"/>
      <w:sz w:val="16"/>
      <w:szCs w:val="16"/>
    </w:rPr>
  </w:style>
  <w:style w:type="paragraph" w:styleId="Prrafodelista">
    <w:name w:val="List Paragraph"/>
    <w:basedOn w:val="Normal"/>
    <w:uiPriority w:val="34"/>
    <w:qFormat/>
    <w:rsid w:val="006966AD"/>
    <w:pPr>
      <w:ind w:left="720"/>
      <w:contextualSpacing/>
    </w:pPr>
  </w:style>
  <w:style w:type="character" w:customStyle="1" w:styleId="Ttulo1Car">
    <w:name w:val="Título 1 Car"/>
    <w:basedOn w:val="Fuentedeprrafopredeter"/>
    <w:link w:val="Ttulo1"/>
    <w:uiPriority w:val="99"/>
    <w:rsid w:val="00BA7236"/>
    <w:rPr>
      <w:rFonts w:ascii="Courier New" w:hAnsi="Courier New" w:cs="Courier New"/>
      <w:b/>
      <w:bCs/>
      <w:color w:val="000000"/>
      <w:sz w:val="32"/>
      <w:szCs w:val="32"/>
    </w:rPr>
  </w:style>
  <w:style w:type="character" w:customStyle="1" w:styleId="Ttulo2Car">
    <w:name w:val="Título 2 Car"/>
    <w:basedOn w:val="Fuentedeprrafopredeter"/>
    <w:link w:val="Ttulo2"/>
    <w:uiPriority w:val="99"/>
    <w:rsid w:val="00BA7236"/>
    <w:rPr>
      <w:rFonts w:ascii="Courier New" w:hAnsi="Courier New" w:cs="Courier New"/>
      <w:b/>
      <w:bCs/>
      <w:i/>
      <w:iCs/>
      <w:color w:val="000000"/>
      <w:sz w:val="28"/>
      <w:szCs w:val="28"/>
    </w:rPr>
  </w:style>
  <w:style w:type="character" w:customStyle="1" w:styleId="Ttulo3Car">
    <w:name w:val="Título 3 Car"/>
    <w:basedOn w:val="Fuentedeprrafopredeter"/>
    <w:link w:val="Ttulo3"/>
    <w:uiPriority w:val="99"/>
    <w:rsid w:val="00BA7236"/>
    <w:rPr>
      <w:rFonts w:ascii="Courier New" w:hAnsi="Courier New" w:cs="Courier New"/>
      <w:b/>
      <w:bCs/>
      <w:color w:val="000000"/>
      <w:sz w:val="26"/>
      <w:szCs w:val="26"/>
    </w:rPr>
  </w:style>
  <w:style w:type="numbering" w:customStyle="1" w:styleId="Sinlista1">
    <w:name w:val="Sin lista1"/>
    <w:next w:val="Sinlista"/>
    <w:uiPriority w:val="99"/>
    <w:semiHidden/>
    <w:unhideWhenUsed/>
    <w:rsid w:val="00BA72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2BA"/>
  </w:style>
  <w:style w:type="paragraph" w:styleId="Ttulo1">
    <w:name w:val="heading 1"/>
    <w:basedOn w:val="Normal"/>
    <w:next w:val="Normal"/>
    <w:link w:val="Ttulo1Car"/>
    <w:uiPriority w:val="99"/>
    <w:qFormat/>
    <w:rsid w:val="00BA7236"/>
    <w:pPr>
      <w:autoSpaceDE w:val="0"/>
      <w:autoSpaceDN w:val="0"/>
      <w:adjustRightInd w:val="0"/>
      <w:spacing w:after="0" w:line="240" w:lineRule="auto"/>
      <w:outlineLvl w:val="0"/>
    </w:pPr>
    <w:rPr>
      <w:rFonts w:ascii="Courier New" w:hAnsi="Courier New" w:cs="Courier New"/>
      <w:b/>
      <w:bCs/>
      <w:color w:val="000000"/>
      <w:sz w:val="32"/>
      <w:szCs w:val="32"/>
    </w:rPr>
  </w:style>
  <w:style w:type="paragraph" w:styleId="Ttulo2">
    <w:name w:val="heading 2"/>
    <w:basedOn w:val="Normal"/>
    <w:next w:val="Normal"/>
    <w:link w:val="Ttulo2Car"/>
    <w:uiPriority w:val="99"/>
    <w:qFormat/>
    <w:rsid w:val="00BA7236"/>
    <w:pPr>
      <w:autoSpaceDE w:val="0"/>
      <w:autoSpaceDN w:val="0"/>
      <w:adjustRightInd w:val="0"/>
      <w:spacing w:after="0" w:line="240" w:lineRule="auto"/>
      <w:outlineLvl w:val="1"/>
    </w:pPr>
    <w:rPr>
      <w:rFonts w:ascii="Courier New" w:hAnsi="Courier New" w:cs="Courier New"/>
      <w:b/>
      <w:bCs/>
      <w:i/>
      <w:iCs/>
      <w:color w:val="000000"/>
      <w:sz w:val="28"/>
      <w:szCs w:val="28"/>
    </w:rPr>
  </w:style>
  <w:style w:type="paragraph" w:styleId="Ttulo3">
    <w:name w:val="heading 3"/>
    <w:basedOn w:val="Normal"/>
    <w:next w:val="Normal"/>
    <w:link w:val="Ttulo3Car"/>
    <w:uiPriority w:val="99"/>
    <w:qFormat/>
    <w:rsid w:val="00BA7236"/>
    <w:pPr>
      <w:autoSpaceDE w:val="0"/>
      <w:autoSpaceDN w:val="0"/>
      <w:adjustRightInd w:val="0"/>
      <w:spacing w:after="0" w:line="240" w:lineRule="auto"/>
      <w:outlineLvl w:val="2"/>
    </w:pPr>
    <w:rPr>
      <w:rFonts w:ascii="Courier New" w:hAnsi="Courier New" w:cs="Courier New"/>
      <w:b/>
      <w:bCs/>
      <w:color w:val="000000"/>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1540B6"/>
    <w:rPr>
      <w:color w:val="0000FF" w:themeColor="hyperlink"/>
      <w:u w:val="single"/>
    </w:rPr>
  </w:style>
  <w:style w:type="paragraph" w:styleId="Textodeglobo">
    <w:name w:val="Balloon Text"/>
    <w:basedOn w:val="Normal"/>
    <w:link w:val="TextodegloboCar"/>
    <w:uiPriority w:val="99"/>
    <w:semiHidden/>
    <w:unhideWhenUsed/>
    <w:rsid w:val="00967F2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67F2A"/>
    <w:rPr>
      <w:rFonts w:ascii="Tahoma" w:hAnsi="Tahoma" w:cs="Tahoma"/>
      <w:sz w:val="16"/>
      <w:szCs w:val="16"/>
    </w:rPr>
  </w:style>
  <w:style w:type="paragraph" w:styleId="Prrafodelista">
    <w:name w:val="List Paragraph"/>
    <w:basedOn w:val="Normal"/>
    <w:uiPriority w:val="34"/>
    <w:qFormat/>
    <w:rsid w:val="006966AD"/>
    <w:pPr>
      <w:ind w:left="720"/>
      <w:contextualSpacing/>
    </w:pPr>
  </w:style>
  <w:style w:type="character" w:customStyle="1" w:styleId="Ttulo1Car">
    <w:name w:val="Título 1 Car"/>
    <w:basedOn w:val="Fuentedeprrafopredeter"/>
    <w:link w:val="Ttulo1"/>
    <w:uiPriority w:val="99"/>
    <w:rsid w:val="00BA7236"/>
    <w:rPr>
      <w:rFonts w:ascii="Courier New" w:hAnsi="Courier New" w:cs="Courier New"/>
      <w:b/>
      <w:bCs/>
      <w:color w:val="000000"/>
      <w:sz w:val="32"/>
      <w:szCs w:val="32"/>
    </w:rPr>
  </w:style>
  <w:style w:type="character" w:customStyle="1" w:styleId="Ttulo2Car">
    <w:name w:val="Título 2 Car"/>
    <w:basedOn w:val="Fuentedeprrafopredeter"/>
    <w:link w:val="Ttulo2"/>
    <w:uiPriority w:val="99"/>
    <w:rsid w:val="00BA7236"/>
    <w:rPr>
      <w:rFonts w:ascii="Courier New" w:hAnsi="Courier New" w:cs="Courier New"/>
      <w:b/>
      <w:bCs/>
      <w:i/>
      <w:iCs/>
      <w:color w:val="000000"/>
      <w:sz w:val="28"/>
      <w:szCs w:val="28"/>
    </w:rPr>
  </w:style>
  <w:style w:type="character" w:customStyle="1" w:styleId="Ttulo3Car">
    <w:name w:val="Título 3 Car"/>
    <w:basedOn w:val="Fuentedeprrafopredeter"/>
    <w:link w:val="Ttulo3"/>
    <w:uiPriority w:val="99"/>
    <w:rsid w:val="00BA7236"/>
    <w:rPr>
      <w:rFonts w:ascii="Courier New" w:hAnsi="Courier New" w:cs="Courier New"/>
      <w:b/>
      <w:bCs/>
      <w:color w:val="000000"/>
      <w:sz w:val="26"/>
      <w:szCs w:val="26"/>
    </w:rPr>
  </w:style>
  <w:style w:type="numbering" w:customStyle="1" w:styleId="Sinlista1">
    <w:name w:val="Sin lista1"/>
    <w:next w:val="Sinlista"/>
    <w:uiPriority w:val="99"/>
    <w:semiHidden/>
    <w:unhideWhenUsed/>
    <w:rsid w:val="00BA72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9</Pages>
  <Words>3105</Words>
  <Characters>16553</Characters>
  <Application>Microsoft Office Word</Application>
  <DocSecurity>0</DocSecurity>
  <Lines>413</Lines>
  <Paragraphs>206</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19452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Luffi</dc:creator>
  <cp:lastModifiedBy>Luffi</cp:lastModifiedBy>
  <cp:revision>10</cp:revision>
  <dcterms:created xsi:type="dcterms:W3CDTF">2015-05-04T00:14:00Z</dcterms:created>
  <dcterms:modified xsi:type="dcterms:W3CDTF">2016-01-31T04:42:00Z</dcterms:modified>
</cp:coreProperties>
</file>