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284CA" w14:textId="3FD7D8BB" w:rsidR="008A6833" w:rsidRPr="00206AFE" w:rsidRDefault="00D26A51" w:rsidP="00D83747">
      <w:pPr>
        <w:spacing w:line="480" w:lineRule="auto"/>
        <w:jc w:val="center"/>
        <w:rPr>
          <w:rFonts w:ascii="Arial" w:hAnsi="Arial" w:cs="Arial"/>
          <w:b/>
          <w:sz w:val="28"/>
          <w:szCs w:val="28"/>
        </w:rPr>
      </w:pPr>
      <w:r w:rsidRPr="00206AFE">
        <w:rPr>
          <w:rFonts w:ascii="Arial" w:hAnsi="Arial" w:cs="Arial"/>
          <w:b/>
          <w:sz w:val="28"/>
          <w:szCs w:val="28"/>
        </w:rPr>
        <w:t xml:space="preserve">CARACTERÍSTICAS DE </w:t>
      </w:r>
      <w:r w:rsidR="00AF2A55" w:rsidRPr="00206AFE">
        <w:rPr>
          <w:rFonts w:ascii="Arial" w:hAnsi="Arial" w:cs="Arial"/>
          <w:b/>
          <w:sz w:val="28"/>
          <w:szCs w:val="28"/>
        </w:rPr>
        <w:t>ESCUELAS DE ALTO Y BAJO LOGRO DE CUATRO ENTIDADES DE LA REPÚBLICA MEXICANA</w:t>
      </w:r>
    </w:p>
    <w:p w14:paraId="56A242F1" w14:textId="77777777" w:rsidR="00D26A51" w:rsidRPr="00D83747" w:rsidRDefault="00D26A51" w:rsidP="00D83747">
      <w:pPr>
        <w:spacing w:line="480" w:lineRule="auto"/>
        <w:jc w:val="center"/>
        <w:rPr>
          <w:rFonts w:ascii="Arial" w:hAnsi="Arial" w:cs="Arial"/>
        </w:rPr>
      </w:pPr>
      <w:bookmarkStart w:id="0" w:name="_GoBack"/>
      <w:bookmarkEnd w:id="0"/>
    </w:p>
    <w:p w14:paraId="673E8A19" w14:textId="77777777" w:rsidR="00D26A51" w:rsidRPr="00D83747" w:rsidRDefault="00D26A51" w:rsidP="00D83747">
      <w:pPr>
        <w:spacing w:line="480" w:lineRule="auto"/>
        <w:rPr>
          <w:rFonts w:ascii="Arial" w:hAnsi="Arial" w:cs="Arial"/>
        </w:rPr>
      </w:pPr>
    </w:p>
    <w:p w14:paraId="6544C0C3" w14:textId="2451B207" w:rsidR="00D26A51" w:rsidRPr="00206AFE" w:rsidRDefault="00D26A51" w:rsidP="00D83747">
      <w:pPr>
        <w:spacing w:after="0" w:line="480" w:lineRule="auto"/>
        <w:jc w:val="right"/>
        <w:rPr>
          <w:rFonts w:ascii="Arial" w:hAnsi="Arial" w:cs="Arial"/>
          <w:sz w:val="20"/>
          <w:szCs w:val="20"/>
        </w:rPr>
      </w:pPr>
      <w:r w:rsidRPr="00206AFE">
        <w:rPr>
          <w:rFonts w:ascii="Arial" w:hAnsi="Arial" w:cs="Arial"/>
          <w:sz w:val="20"/>
          <w:szCs w:val="20"/>
        </w:rPr>
        <w:t>Alicia Rivera Morales y Brenda Gutiérrez Cervantes</w:t>
      </w:r>
    </w:p>
    <w:p w14:paraId="6858EC47" w14:textId="366D5402" w:rsidR="00D26A51" w:rsidRPr="00206AFE" w:rsidRDefault="00D26A51" w:rsidP="00D83747">
      <w:pPr>
        <w:spacing w:after="0" w:line="480" w:lineRule="auto"/>
        <w:jc w:val="right"/>
        <w:rPr>
          <w:rFonts w:ascii="Arial" w:hAnsi="Arial" w:cs="Arial"/>
          <w:sz w:val="20"/>
          <w:szCs w:val="20"/>
        </w:rPr>
      </w:pPr>
      <w:r w:rsidRPr="00206AFE">
        <w:rPr>
          <w:rFonts w:ascii="Arial" w:hAnsi="Arial" w:cs="Arial"/>
          <w:sz w:val="20"/>
          <w:szCs w:val="20"/>
        </w:rPr>
        <w:t>Universidad Pedagógica Nacional Ajusco</w:t>
      </w:r>
    </w:p>
    <w:p w14:paraId="5418ABD7" w14:textId="77777777" w:rsidR="00D26A51" w:rsidRPr="00D83747" w:rsidRDefault="00D26A51" w:rsidP="00D83747">
      <w:pPr>
        <w:spacing w:line="480" w:lineRule="auto"/>
        <w:rPr>
          <w:rFonts w:ascii="Arial" w:hAnsi="Arial" w:cs="Arial"/>
          <w:b/>
        </w:rPr>
      </w:pPr>
    </w:p>
    <w:p w14:paraId="386104D0" w14:textId="77777777" w:rsidR="00065CF1" w:rsidRPr="00D83747" w:rsidRDefault="00631BB2" w:rsidP="00D83747">
      <w:pPr>
        <w:spacing w:line="480" w:lineRule="auto"/>
        <w:rPr>
          <w:rFonts w:ascii="Arial" w:hAnsi="Arial" w:cs="Arial"/>
          <w:b/>
        </w:rPr>
      </w:pPr>
      <w:r w:rsidRPr="00D83747">
        <w:rPr>
          <w:rFonts w:ascii="Arial" w:hAnsi="Arial" w:cs="Arial"/>
          <w:b/>
        </w:rPr>
        <w:t>Resumen</w:t>
      </w:r>
    </w:p>
    <w:p w14:paraId="4096D746" w14:textId="63146F8B" w:rsidR="006154A7" w:rsidRPr="00D83747" w:rsidRDefault="008A6833" w:rsidP="00D83747">
      <w:pPr>
        <w:spacing w:line="480" w:lineRule="auto"/>
        <w:jc w:val="both"/>
        <w:rPr>
          <w:rFonts w:ascii="Arial" w:hAnsi="Arial" w:cs="Arial"/>
        </w:rPr>
      </w:pPr>
      <w:r w:rsidRPr="00D83747">
        <w:rPr>
          <w:rFonts w:ascii="Arial" w:hAnsi="Arial" w:cs="Arial"/>
        </w:rPr>
        <w:t xml:space="preserve">Este </w:t>
      </w:r>
      <w:r w:rsidR="00D26A51" w:rsidRPr="00D83747">
        <w:rPr>
          <w:rFonts w:ascii="Arial" w:hAnsi="Arial" w:cs="Arial"/>
        </w:rPr>
        <w:t xml:space="preserve">trabajo forma parte </w:t>
      </w:r>
      <w:r w:rsidRPr="00D83747">
        <w:rPr>
          <w:rFonts w:ascii="Arial" w:hAnsi="Arial" w:cs="Arial"/>
        </w:rPr>
        <w:t xml:space="preserve"> de un proyecto </w:t>
      </w:r>
      <w:r w:rsidR="003B7869" w:rsidRPr="00D83747">
        <w:rPr>
          <w:rFonts w:ascii="Arial" w:hAnsi="Arial" w:cs="Arial"/>
        </w:rPr>
        <w:t xml:space="preserve">financiado por </w:t>
      </w:r>
      <w:r w:rsidRPr="00D83747">
        <w:rPr>
          <w:rFonts w:ascii="Arial" w:hAnsi="Arial" w:cs="Arial"/>
        </w:rPr>
        <w:t xml:space="preserve"> CONACYT,</w:t>
      </w:r>
      <w:r w:rsidR="006D6003" w:rsidRPr="00D83747">
        <w:rPr>
          <w:rFonts w:ascii="Arial" w:hAnsi="Arial" w:cs="Arial"/>
        </w:rPr>
        <w:t xml:space="preserve"> </w:t>
      </w:r>
      <w:r w:rsidR="009E65CC" w:rsidRPr="00D83747">
        <w:rPr>
          <w:rFonts w:ascii="Arial" w:hAnsi="Arial" w:cs="Arial"/>
        </w:rPr>
        <w:t xml:space="preserve">el cual se </w:t>
      </w:r>
      <w:r w:rsidR="00065CF1" w:rsidRPr="00D83747">
        <w:rPr>
          <w:rFonts w:ascii="Arial" w:hAnsi="Arial" w:cs="Arial"/>
        </w:rPr>
        <w:t>desarrolló</w:t>
      </w:r>
      <w:r w:rsidR="009E65CC" w:rsidRPr="00D83747">
        <w:rPr>
          <w:rFonts w:ascii="Arial" w:hAnsi="Arial" w:cs="Arial"/>
        </w:rPr>
        <w:t xml:space="preserve"> </w:t>
      </w:r>
      <w:r w:rsidR="00631BB2" w:rsidRPr="00D83747">
        <w:rPr>
          <w:rFonts w:ascii="Arial" w:hAnsi="Arial" w:cs="Arial"/>
        </w:rPr>
        <w:t>en 43</w:t>
      </w:r>
      <w:r w:rsidR="006D6003" w:rsidRPr="00D83747">
        <w:rPr>
          <w:rFonts w:ascii="Arial" w:hAnsi="Arial" w:cs="Arial"/>
        </w:rPr>
        <w:t xml:space="preserve"> escuelas</w:t>
      </w:r>
      <w:r w:rsidR="003B7869" w:rsidRPr="00D83747">
        <w:rPr>
          <w:rFonts w:ascii="Arial" w:hAnsi="Arial" w:cs="Arial"/>
        </w:rPr>
        <w:t xml:space="preserve"> secundarias, </w:t>
      </w:r>
      <w:r w:rsidR="0043335C" w:rsidRPr="00D83747">
        <w:rPr>
          <w:rFonts w:ascii="Arial" w:hAnsi="Arial" w:cs="Arial"/>
        </w:rPr>
        <w:t>23 de alto logro</w:t>
      </w:r>
      <w:r w:rsidR="003B7869" w:rsidRPr="00D83747">
        <w:rPr>
          <w:rFonts w:ascii="Arial" w:hAnsi="Arial" w:cs="Arial"/>
        </w:rPr>
        <w:t xml:space="preserve"> (AL) </w:t>
      </w:r>
      <w:r w:rsidR="0043335C" w:rsidRPr="00D83747">
        <w:rPr>
          <w:rFonts w:ascii="Arial" w:hAnsi="Arial" w:cs="Arial"/>
        </w:rPr>
        <w:t xml:space="preserve"> y 20 de bajo logro</w:t>
      </w:r>
      <w:r w:rsidR="003B7869" w:rsidRPr="00D83747">
        <w:rPr>
          <w:rFonts w:ascii="Arial" w:hAnsi="Arial" w:cs="Arial"/>
        </w:rPr>
        <w:t xml:space="preserve"> (BL</w:t>
      </w:r>
      <w:r w:rsidR="0043335C" w:rsidRPr="00D83747">
        <w:rPr>
          <w:rFonts w:ascii="Arial" w:hAnsi="Arial" w:cs="Arial"/>
        </w:rPr>
        <w:t>)</w:t>
      </w:r>
      <w:r w:rsidR="003B7869" w:rsidRPr="00D83747">
        <w:rPr>
          <w:rFonts w:ascii="Arial" w:hAnsi="Arial" w:cs="Arial"/>
        </w:rPr>
        <w:t xml:space="preserve"> </w:t>
      </w:r>
      <w:r w:rsidR="006D6003" w:rsidRPr="00D83747">
        <w:rPr>
          <w:rFonts w:ascii="Arial" w:hAnsi="Arial" w:cs="Arial"/>
        </w:rPr>
        <w:t xml:space="preserve"> de cuatro entidades de la</w:t>
      </w:r>
      <w:r w:rsidR="003B7869" w:rsidRPr="00D83747">
        <w:rPr>
          <w:rFonts w:ascii="Arial" w:hAnsi="Arial" w:cs="Arial"/>
        </w:rPr>
        <w:t xml:space="preserve"> República Mexicana (CDMX</w:t>
      </w:r>
      <w:r w:rsidR="006D6003" w:rsidRPr="00D83747">
        <w:rPr>
          <w:rFonts w:ascii="Arial" w:hAnsi="Arial" w:cs="Arial"/>
        </w:rPr>
        <w:t>, Durango</w:t>
      </w:r>
      <w:r w:rsidR="003B7869" w:rsidRPr="00D83747">
        <w:rPr>
          <w:rFonts w:ascii="Arial" w:hAnsi="Arial" w:cs="Arial"/>
        </w:rPr>
        <w:t xml:space="preserve">,   Sonora </w:t>
      </w:r>
      <w:r w:rsidR="006D6003" w:rsidRPr="00D83747">
        <w:rPr>
          <w:rFonts w:ascii="Arial" w:hAnsi="Arial" w:cs="Arial"/>
        </w:rPr>
        <w:t xml:space="preserve"> y Oaxaca Sur)</w:t>
      </w:r>
      <w:r w:rsidR="003B7869" w:rsidRPr="00D83747">
        <w:rPr>
          <w:rFonts w:ascii="Arial" w:hAnsi="Arial" w:cs="Arial"/>
        </w:rPr>
        <w:t xml:space="preserve">. </w:t>
      </w:r>
      <w:r w:rsidR="003A0B38" w:rsidRPr="00D83747">
        <w:rPr>
          <w:rFonts w:ascii="Arial" w:hAnsi="Arial" w:cs="Arial"/>
        </w:rPr>
        <w:t>Uno de los objetivos propuestos en el estudio amplio fue caracterizar las escuelas de alto y bajo logro académico</w:t>
      </w:r>
      <w:r w:rsidR="003109EA" w:rsidRPr="00D83747">
        <w:rPr>
          <w:rFonts w:ascii="Arial" w:hAnsi="Arial" w:cs="Arial"/>
        </w:rPr>
        <w:t xml:space="preserve"> de cuatro entidades federativas. </w:t>
      </w:r>
      <w:r w:rsidR="003B7869" w:rsidRPr="00D83747">
        <w:rPr>
          <w:rFonts w:ascii="Arial" w:hAnsi="Arial" w:cs="Arial"/>
        </w:rPr>
        <w:t xml:space="preserve">Para </w:t>
      </w:r>
      <w:r w:rsidR="003A0B38" w:rsidRPr="00D83747">
        <w:rPr>
          <w:rFonts w:ascii="Arial" w:hAnsi="Arial" w:cs="Arial"/>
        </w:rPr>
        <w:t xml:space="preserve">tal fin </w:t>
      </w:r>
      <w:r w:rsidR="003B7869" w:rsidRPr="00D83747">
        <w:rPr>
          <w:rFonts w:ascii="Arial" w:hAnsi="Arial" w:cs="Arial"/>
        </w:rPr>
        <w:t xml:space="preserve"> se  aplicó una lista de cotejo y un cuestionario sobre información de la escuela al director. </w:t>
      </w:r>
      <w:r w:rsidR="00A86B52" w:rsidRPr="00D83747">
        <w:rPr>
          <w:rFonts w:ascii="Arial" w:hAnsi="Arial" w:cs="Arial"/>
        </w:rPr>
        <w:t xml:space="preserve">Aquí se presentan datos preliminares sobre el tema.  </w:t>
      </w:r>
      <w:r w:rsidR="003B7869" w:rsidRPr="00D83747">
        <w:rPr>
          <w:rFonts w:ascii="Arial" w:hAnsi="Arial" w:cs="Arial"/>
        </w:rPr>
        <w:t>El análisis del primer instrumento permite observar que ambos grupos de escuelas cuentan</w:t>
      </w:r>
      <w:r w:rsidR="006154A7" w:rsidRPr="00D83747">
        <w:rPr>
          <w:rFonts w:ascii="Arial" w:hAnsi="Arial" w:cs="Arial"/>
        </w:rPr>
        <w:t xml:space="preserve"> con  instalaciones y se encuentran ubicadas en contextos similares. Los datos muestran que  las diferencias </w:t>
      </w:r>
      <w:r w:rsidR="003A0B38" w:rsidRPr="00D83747">
        <w:rPr>
          <w:rFonts w:ascii="Arial" w:hAnsi="Arial" w:cs="Arial"/>
        </w:rPr>
        <w:t xml:space="preserve">entre las secundarias de AL y BL </w:t>
      </w:r>
      <w:r w:rsidR="006154A7" w:rsidRPr="00D83747">
        <w:rPr>
          <w:rFonts w:ascii="Arial" w:hAnsi="Arial" w:cs="Arial"/>
        </w:rPr>
        <w:t>se manifiestan en las formas de organización, participación de los padres de familia y el sentido de pertinencia de los profesores y estudiantes, según el dicho de los directivos encuestados.</w:t>
      </w:r>
    </w:p>
    <w:p w14:paraId="7930E871" w14:textId="401A5813" w:rsidR="009E65CC" w:rsidRPr="00D83747" w:rsidRDefault="009E65CC" w:rsidP="00D83747">
      <w:pPr>
        <w:spacing w:line="480" w:lineRule="auto"/>
        <w:jc w:val="both"/>
        <w:rPr>
          <w:rFonts w:ascii="Arial" w:hAnsi="Arial" w:cs="Arial"/>
        </w:rPr>
      </w:pPr>
      <w:r w:rsidRPr="00D83747">
        <w:rPr>
          <w:rFonts w:ascii="Arial" w:hAnsi="Arial" w:cs="Arial"/>
        </w:rPr>
        <w:t>Palabras clave</w:t>
      </w:r>
      <w:r w:rsidR="003A0B38" w:rsidRPr="00D83747">
        <w:rPr>
          <w:rFonts w:ascii="Arial" w:hAnsi="Arial" w:cs="Arial"/>
        </w:rPr>
        <w:t xml:space="preserve">: </w:t>
      </w:r>
      <w:r w:rsidR="006154A7" w:rsidRPr="00D83747">
        <w:rPr>
          <w:rFonts w:ascii="Arial" w:hAnsi="Arial" w:cs="Arial"/>
        </w:rPr>
        <w:t>Caracterización, escuelas alto y bajo logro</w:t>
      </w:r>
    </w:p>
    <w:p w14:paraId="53D773A3" w14:textId="77777777" w:rsidR="00206AFE" w:rsidRDefault="00206AFE" w:rsidP="00D83747">
      <w:pPr>
        <w:spacing w:line="480" w:lineRule="auto"/>
        <w:rPr>
          <w:rFonts w:ascii="Arial" w:hAnsi="Arial" w:cs="Arial"/>
          <w:b/>
        </w:rPr>
      </w:pPr>
    </w:p>
    <w:p w14:paraId="0B7C0511" w14:textId="77777777" w:rsidR="00206AFE" w:rsidRDefault="00206AFE" w:rsidP="00D83747">
      <w:pPr>
        <w:spacing w:line="480" w:lineRule="auto"/>
        <w:rPr>
          <w:rFonts w:ascii="Arial" w:hAnsi="Arial" w:cs="Arial"/>
          <w:b/>
        </w:rPr>
      </w:pPr>
    </w:p>
    <w:p w14:paraId="645224BE" w14:textId="77777777" w:rsidR="006D6003" w:rsidRPr="00D83747" w:rsidRDefault="0020793A" w:rsidP="00D83747">
      <w:pPr>
        <w:spacing w:line="480" w:lineRule="auto"/>
        <w:rPr>
          <w:rFonts w:ascii="Arial" w:hAnsi="Arial" w:cs="Arial"/>
          <w:b/>
        </w:rPr>
      </w:pPr>
      <w:r w:rsidRPr="00D83747">
        <w:rPr>
          <w:rFonts w:ascii="Arial" w:hAnsi="Arial" w:cs="Arial"/>
          <w:b/>
        </w:rPr>
        <w:lastRenderedPageBreak/>
        <w:t>Introducción</w:t>
      </w:r>
    </w:p>
    <w:p w14:paraId="35578093" w14:textId="77777777" w:rsidR="003109EA" w:rsidRPr="00D83747" w:rsidRDefault="003109EA" w:rsidP="00D83747">
      <w:pPr>
        <w:autoSpaceDE w:val="0"/>
        <w:autoSpaceDN w:val="0"/>
        <w:adjustRightInd w:val="0"/>
        <w:spacing w:after="0" w:line="480" w:lineRule="auto"/>
        <w:jc w:val="both"/>
        <w:rPr>
          <w:rFonts w:ascii="Arial" w:hAnsi="Arial" w:cs="Arial"/>
        </w:rPr>
      </w:pPr>
      <w:r w:rsidRPr="00D83747">
        <w:rPr>
          <w:rFonts w:ascii="Arial" w:hAnsi="Arial" w:cs="Arial"/>
        </w:rPr>
        <w:t>Se ha llegado a la conclusión de que el logro de la calidad será posible si la reforma educativa no sólo se concentra en la reformulación de planes y programas de estudio, sino que englobe “una profunda reestructura en los modelos de organización y conducción de los sistemas educativos”</w:t>
      </w:r>
      <w:sdt>
        <w:sdtPr>
          <w:rPr>
            <w:rFonts w:ascii="Arial" w:hAnsi="Arial" w:cs="Arial"/>
          </w:rPr>
          <w:id w:val="-32275855"/>
          <w:citation/>
        </w:sdtPr>
        <w:sdtContent>
          <w:r w:rsidRPr="00D83747">
            <w:rPr>
              <w:rFonts w:ascii="Arial" w:hAnsi="Arial" w:cs="Arial"/>
            </w:rPr>
            <w:fldChar w:fldCharType="begin"/>
          </w:r>
          <w:r w:rsidRPr="00D83747">
            <w:rPr>
              <w:rFonts w:ascii="Arial" w:hAnsi="Arial" w:cs="Arial"/>
            </w:rPr>
            <w:instrText xml:space="preserve">CITATION Lil14 \l 2058 </w:instrText>
          </w:r>
          <w:r w:rsidRPr="00D83747">
            <w:rPr>
              <w:rFonts w:ascii="Arial" w:hAnsi="Arial" w:cs="Arial"/>
            </w:rPr>
            <w:fldChar w:fldCharType="separate"/>
          </w:r>
          <w:r w:rsidRPr="00D83747">
            <w:rPr>
              <w:rFonts w:ascii="Arial" w:hAnsi="Arial" w:cs="Arial"/>
              <w:noProof/>
            </w:rPr>
            <w:t xml:space="preserve"> (Toranzos, 1996)</w:t>
          </w:r>
          <w:r w:rsidRPr="00D83747">
            <w:rPr>
              <w:rFonts w:ascii="Arial" w:hAnsi="Arial" w:cs="Arial"/>
            </w:rPr>
            <w:fldChar w:fldCharType="end"/>
          </w:r>
        </w:sdtContent>
      </w:sdt>
      <w:r w:rsidRPr="00D83747">
        <w:rPr>
          <w:rFonts w:ascii="Arial" w:hAnsi="Arial" w:cs="Arial"/>
        </w:rPr>
        <w:t xml:space="preserve"> surgiendo la importancia de la gestión escolar.</w:t>
      </w:r>
    </w:p>
    <w:p w14:paraId="78EC613D" w14:textId="77777777" w:rsidR="003109EA" w:rsidRPr="00D83747" w:rsidRDefault="003109EA" w:rsidP="00D83747">
      <w:pPr>
        <w:autoSpaceDE w:val="0"/>
        <w:autoSpaceDN w:val="0"/>
        <w:adjustRightInd w:val="0"/>
        <w:spacing w:after="0" w:line="480" w:lineRule="auto"/>
        <w:jc w:val="both"/>
        <w:rPr>
          <w:rFonts w:ascii="Arial" w:hAnsi="Arial" w:cs="Arial"/>
        </w:rPr>
      </w:pPr>
    </w:p>
    <w:p w14:paraId="1F5B5933" w14:textId="77777777" w:rsidR="003109EA" w:rsidRPr="00D83747" w:rsidRDefault="003109EA" w:rsidP="00D83747">
      <w:pPr>
        <w:autoSpaceDE w:val="0"/>
        <w:autoSpaceDN w:val="0"/>
        <w:adjustRightInd w:val="0"/>
        <w:spacing w:after="0" w:line="480" w:lineRule="auto"/>
        <w:jc w:val="both"/>
        <w:rPr>
          <w:rFonts w:ascii="Arial" w:hAnsi="Arial" w:cs="Arial"/>
        </w:rPr>
      </w:pPr>
      <w:r w:rsidRPr="00D83747">
        <w:rPr>
          <w:rFonts w:ascii="Arial" w:hAnsi="Arial" w:cs="Arial"/>
        </w:rPr>
        <w:t xml:space="preserve">La gestión escolar es un elemento determinante de la calidad del desempeño de las escuelas, sobre todo en la medida que se incrementa la descentralización de los procesos de decisión en los sistemas educacionales. </w:t>
      </w:r>
      <w:sdt>
        <w:sdtPr>
          <w:rPr>
            <w:rFonts w:ascii="Arial" w:hAnsi="Arial" w:cs="Arial"/>
          </w:rPr>
          <w:id w:val="1735967273"/>
          <w:citation/>
        </w:sdtPr>
        <w:sdtContent>
          <w:r w:rsidRPr="00D83747">
            <w:rPr>
              <w:rFonts w:ascii="Arial" w:hAnsi="Arial" w:cs="Arial"/>
            </w:rPr>
            <w:fldChar w:fldCharType="begin"/>
          </w:r>
          <w:r w:rsidRPr="00D83747">
            <w:rPr>
              <w:rFonts w:ascii="Arial" w:hAnsi="Arial" w:cs="Arial"/>
            </w:rPr>
            <w:instrText xml:space="preserve">CITATION CAl14 \l 2058 </w:instrText>
          </w:r>
          <w:r w:rsidRPr="00D83747">
            <w:rPr>
              <w:rFonts w:ascii="Arial" w:hAnsi="Arial" w:cs="Arial"/>
            </w:rPr>
            <w:fldChar w:fldCharType="separate"/>
          </w:r>
          <w:r w:rsidRPr="00D83747">
            <w:rPr>
              <w:rFonts w:ascii="Arial" w:hAnsi="Arial" w:cs="Arial"/>
              <w:noProof/>
            </w:rPr>
            <w:t>(Alvariño</w:t>
          </w:r>
          <w:r w:rsidRPr="00D83747">
            <w:rPr>
              <w:rFonts w:ascii="Cambria Math" w:hAnsi="Cambria Math" w:cs="Cambria Math"/>
              <w:noProof/>
            </w:rPr>
            <w:t>∗</w:t>
          </w:r>
          <w:r w:rsidRPr="00D83747">
            <w:rPr>
              <w:rFonts w:ascii="Arial" w:hAnsi="Arial" w:cs="Arial"/>
              <w:noProof/>
            </w:rPr>
            <w:t>, 2000)</w:t>
          </w:r>
          <w:r w:rsidRPr="00D83747">
            <w:rPr>
              <w:rFonts w:ascii="Arial" w:hAnsi="Arial" w:cs="Arial"/>
            </w:rPr>
            <w:fldChar w:fldCharType="end"/>
          </w:r>
        </w:sdtContent>
      </w:sdt>
    </w:p>
    <w:p w14:paraId="0E79ACB5" w14:textId="77777777" w:rsidR="003109EA" w:rsidRPr="00D83747" w:rsidRDefault="003109EA" w:rsidP="00D83747">
      <w:pPr>
        <w:autoSpaceDE w:val="0"/>
        <w:autoSpaceDN w:val="0"/>
        <w:adjustRightInd w:val="0"/>
        <w:spacing w:after="0" w:line="480" w:lineRule="auto"/>
        <w:jc w:val="both"/>
        <w:rPr>
          <w:rFonts w:ascii="Arial" w:hAnsi="Arial" w:cs="Arial"/>
        </w:rPr>
      </w:pPr>
    </w:p>
    <w:p w14:paraId="6CE3518D" w14:textId="77777777" w:rsidR="003109EA" w:rsidRPr="00D83747" w:rsidRDefault="003109EA" w:rsidP="00D83747">
      <w:pPr>
        <w:autoSpaceDE w:val="0"/>
        <w:autoSpaceDN w:val="0"/>
        <w:adjustRightInd w:val="0"/>
        <w:spacing w:after="0" w:line="480" w:lineRule="auto"/>
        <w:jc w:val="both"/>
        <w:rPr>
          <w:rFonts w:ascii="Arial" w:hAnsi="Arial" w:cs="Arial"/>
          <w:shd w:val="clear" w:color="auto" w:fill="FFFFFF"/>
        </w:rPr>
      </w:pPr>
      <w:r w:rsidRPr="00D83747">
        <w:rPr>
          <w:rFonts w:ascii="Arial" w:hAnsi="Arial" w:cs="Arial"/>
          <w:shd w:val="clear" w:color="auto" w:fill="FFFFFF"/>
        </w:rPr>
        <w:t>“La gestión escolar o educativa representa uno de los componentes esenciales en la organización, supervisión y dirección de las escuelas .Ésta comprende los procesos de dirección pedagógica y administración de recursos físicos, humanos y financieros en las escuelas. Actualmente ocupa un lugar preponderante en el diseño de las políticas de modernización e innovación de los sistemas educativos, pues se considera primordial en la creación de ambientes propicios dentro de las organizaciones educativas.”</w:t>
      </w:r>
      <w:sdt>
        <w:sdtPr>
          <w:rPr>
            <w:rFonts w:ascii="Arial" w:hAnsi="Arial" w:cs="Arial"/>
            <w:shd w:val="clear" w:color="auto" w:fill="FFFFFF"/>
          </w:rPr>
          <w:id w:val="129294634"/>
          <w:citation/>
        </w:sdtPr>
        <w:sdtContent>
          <w:r w:rsidRPr="00D83747">
            <w:rPr>
              <w:rFonts w:ascii="Arial" w:hAnsi="Arial" w:cs="Arial"/>
              <w:shd w:val="clear" w:color="auto" w:fill="FFFFFF"/>
            </w:rPr>
            <w:fldChar w:fldCharType="begin"/>
          </w:r>
          <w:r w:rsidRPr="00D83747">
            <w:rPr>
              <w:rFonts w:ascii="Arial" w:hAnsi="Arial" w:cs="Arial"/>
              <w:shd w:val="clear" w:color="auto" w:fill="FFFFFF"/>
            </w:rPr>
            <w:instrText xml:space="preserve">CITATION Jos19 \p 2 \y  \l 2058 </w:instrText>
          </w:r>
          <w:r w:rsidRPr="00D83747">
            <w:rPr>
              <w:rFonts w:ascii="Arial" w:hAnsi="Arial" w:cs="Arial"/>
              <w:shd w:val="clear" w:color="auto" w:fill="FFFFFF"/>
            </w:rPr>
            <w:fldChar w:fldCharType="separate"/>
          </w:r>
          <w:r w:rsidRPr="00D83747">
            <w:rPr>
              <w:rFonts w:ascii="Arial" w:hAnsi="Arial" w:cs="Arial"/>
              <w:noProof/>
              <w:shd w:val="clear" w:color="auto" w:fill="FFFFFF"/>
            </w:rPr>
            <w:t xml:space="preserve"> (Flores, pág. 2)</w:t>
          </w:r>
          <w:r w:rsidRPr="00D83747">
            <w:rPr>
              <w:rFonts w:ascii="Arial" w:hAnsi="Arial" w:cs="Arial"/>
              <w:shd w:val="clear" w:color="auto" w:fill="FFFFFF"/>
            </w:rPr>
            <w:fldChar w:fldCharType="end"/>
          </w:r>
        </w:sdtContent>
      </w:sdt>
    </w:p>
    <w:p w14:paraId="67BC7818" w14:textId="77777777" w:rsidR="003109EA" w:rsidRPr="00D83747" w:rsidRDefault="003109EA" w:rsidP="00D83747">
      <w:pPr>
        <w:autoSpaceDE w:val="0"/>
        <w:autoSpaceDN w:val="0"/>
        <w:adjustRightInd w:val="0"/>
        <w:spacing w:after="0" w:line="480" w:lineRule="auto"/>
        <w:jc w:val="both"/>
        <w:rPr>
          <w:rFonts w:ascii="Arial" w:hAnsi="Arial" w:cs="Arial"/>
        </w:rPr>
      </w:pPr>
    </w:p>
    <w:p w14:paraId="445823E2" w14:textId="77777777" w:rsidR="003109EA" w:rsidRPr="00D83747" w:rsidRDefault="003109EA" w:rsidP="00D83747">
      <w:pPr>
        <w:spacing w:line="480" w:lineRule="auto"/>
        <w:jc w:val="both"/>
        <w:rPr>
          <w:rFonts w:ascii="Arial" w:hAnsi="Arial" w:cs="Arial"/>
        </w:rPr>
      </w:pPr>
      <w:r w:rsidRPr="00D83747">
        <w:rPr>
          <w:rFonts w:ascii="Arial" w:hAnsi="Arial" w:cs="Arial"/>
        </w:rPr>
        <w:t>El concepto de calidad radica en considerar como unidad básica a la escuela, con todo lo que conlleva (estructura organizacional, gestión escolar, características, actores, historia, contexto general,  sentido de misión), pero al evaluarla solamente se toma en cuenta el conocimiento de los alumnos en una prueba de reactivos.</w:t>
      </w:r>
    </w:p>
    <w:p w14:paraId="09C20060" w14:textId="260DF0BA" w:rsidR="00A86B52" w:rsidRPr="00D83747" w:rsidRDefault="00A86B52" w:rsidP="00D83747">
      <w:pPr>
        <w:spacing w:line="480" w:lineRule="auto"/>
        <w:jc w:val="both"/>
        <w:rPr>
          <w:rFonts w:ascii="Arial" w:eastAsia="Times New Roman" w:hAnsi="Arial" w:cs="Arial"/>
          <w:color w:val="000000"/>
          <w:lang w:eastAsia="es-MX"/>
        </w:rPr>
      </w:pPr>
      <w:r w:rsidRPr="00D83747">
        <w:rPr>
          <w:rFonts w:ascii="Arial" w:eastAsia="Times New Roman" w:hAnsi="Arial" w:cs="Arial"/>
          <w:color w:val="000000"/>
          <w:lang w:eastAsia="es-MX"/>
        </w:rPr>
        <w:t>El presente documento está estructurado por</w:t>
      </w:r>
      <w:r w:rsidR="00206AFE">
        <w:rPr>
          <w:rFonts w:ascii="Arial" w:eastAsia="Times New Roman" w:hAnsi="Arial" w:cs="Arial"/>
          <w:color w:val="000000"/>
          <w:lang w:eastAsia="es-MX"/>
        </w:rPr>
        <w:t>:</w:t>
      </w:r>
      <w:r w:rsidRPr="00D83747">
        <w:rPr>
          <w:rFonts w:ascii="Arial" w:eastAsia="Times New Roman" w:hAnsi="Arial" w:cs="Arial"/>
          <w:color w:val="000000"/>
          <w:lang w:eastAsia="es-MX"/>
        </w:rPr>
        <w:t xml:space="preserve"> nociones teóricas, método,</w:t>
      </w:r>
      <w:r w:rsidR="00206AFE">
        <w:rPr>
          <w:rFonts w:ascii="Arial" w:eastAsia="Times New Roman" w:hAnsi="Arial" w:cs="Arial"/>
          <w:color w:val="000000"/>
          <w:lang w:eastAsia="es-MX"/>
        </w:rPr>
        <w:t xml:space="preserve"> características de las escuelas; escuelas particulares y públicas de altos niveles de logro; clima escolar: una diferencia  y conclusiones.</w:t>
      </w:r>
    </w:p>
    <w:p w14:paraId="0EE31752" w14:textId="77777777" w:rsidR="00020BDE" w:rsidRPr="00D83747" w:rsidRDefault="00020BDE" w:rsidP="00D83747">
      <w:pPr>
        <w:spacing w:line="480" w:lineRule="auto"/>
        <w:jc w:val="both"/>
        <w:rPr>
          <w:rFonts w:ascii="Arial" w:eastAsia="Times New Roman" w:hAnsi="Arial" w:cs="Arial"/>
          <w:color w:val="000000"/>
          <w:lang w:eastAsia="es-MX"/>
        </w:rPr>
      </w:pPr>
    </w:p>
    <w:p w14:paraId="1C55E252" w14:textId="7FD8C9F0" w:rsidR="0043335C" w:rsidRPr="00D83747" w:rsidRDefault="003A0B38" w:rsidP="00D83747">
      <w:pPr>
        <w:spacing w:line="480" w:lineRule="auto"/>
        <w:jc w:val="both"/>
        <w:rPr>
          <w:rFonts w:ascii="Arial" w:eastAsia="Times New Roman" w:hAnsi="Arial" w:cs="Arial"/>
          <w:b/>
          <w:color w:val="000000"/>
          <w:lang w:eastAsia="es-MX"/>
        </w:rPr>
      </w:pPr>
      <w:r w:rsidRPr="00D83747">
        <w:rPr>
          <w:rFonts w:ascii="Arial" w:eastAsia="Times New Roman" w:hAnsi="Arial" w:cs="Arial"/>
          <w:b/>
          <w:color w:val="000000"/>
          <w:lang w:eastAsia="es-MX"/>
        </w:rPr>
        <w:lastRenderedPageBreak/>
        <w:t>Nociones teóricas</w:t>
      </w:r>
      <w:r w:rsidR="0043335C" w:rsidRPr="00D83747">
        <w:rPr>
          <w:rFonts w:ascii="Arial" w:eastAsia="Times New Roman" w:hAnsi="Arial" w:cs="Arial"/>
          <w:b/>
          <w:color w:val="000000"/>
          <w:lang w:eastAsia="es-MX"/>
        </w:rPr>
        <w:t xml:space="preserve"> </w:t>
      </w:r>
    </w:p>
    <w:p w14:paraId="700C85D6" w14:textId="77777777" w:rsidR="0020793A" w:rsidRPr="00D83747" w:rsidRDefault="0020793A" w:rsidP="00D83747">
      <w:pPr>
        <w:spacing w:line="480" w:lineRule="auto"/>
        <w:jc w:val="both"/>
        <w:rPr>
          <w:rFonts w:ascii="Arial" w:hAnsi="Arial" w:cs="Arial"/>
        </w:rPr>
      </w:pPr>
      <w:r w:rsidRPr="00D83747">
        <w:rPr>
          <w:rFonts w:ascii="Arial" w:hAnsi="Arial" w:cs="Arial"/>
        </w:rPr>
        <w:t>Los antecedentes de las escuelas de alto y bajo logro académico comienzan con las escuelas efectivas según Bernardo F. De la Fe, en la Revista Iberoamericana de Educación,</w:t>
      </w:r>
      <w:sdt>
        <w:sdtPr>
          <w:rPr>
            <w:rFonts w:ascii="Arial" w:hAnsi="Arial" w:cs="Arial"/>
          </w:rPr>
          <w:id w:val="-1474360769"/>
          <w:citation/>
        </w:sdtPr>
        <w:sdtEndPr/>
        <w:sdtContent>
          <w:r w:rsidRPr="00D83747">
            <w:rPr>
              <w:rFonts w:ascii="Arial" w:hAnsi="Arial" w:cs="Arial"/>
            </w:rPr>
            <w:fldChar w:fldCharType="begin"/>
          </w:r>
          <w:r w:rsidR="0043335C" w:rsidRPr="00D83747">
            <w:rPr>
              <w:rFonts w:ascii="Arial" w:hAnsi="Arial" w:cs="Arial"/>
            </w:rPr>
            <w:instrText xml:space="preserve">CITATION FeB14 \n  \l 1034 </w:instrText>
          </w:r>
          <w:r w:rsidRPr="00D83747">
            <w:rPr>
              <w:rFonts w:ascii="Arial" w:hAnsi="Arial" w:cs="Arial"/>
            </w:rPr>
            <w:fldChar w:fldCharType="separate"/>
          </w:r>
          <w:r w:rsidR="003109EA" w:rsidRPr="00D83747">
            <w:rPr>
              <w:rFonts w:ascii="Arial" w:hAnsi="Arial" w:cs="Arial"/>
              <w:noProof/>
            </w:rPr>
            <w:t xml:space="preserve"> (Revista Iberoamericana de Educación 2014)</w:t>
          </w:r>
          <w:r w:rsidRPr="00D83747">
            <w:rPr>
              <w:rFonts w:ascii="Arial" w:hAnsi="Arial" w:cs="Arial"/>
            </w:rPr>
            <w:fldChar w:fldCharType="end"/>
          </w:r>
        </w:sdtContent>
      </w:sdt>
      <w:r w:rsidRPr="00D83747">
        <w:rPr>
          <w:rFonts w:ascii="Arial" w:hAnsi="Arial" w:cs="Arial"/>
        </w:rPr>
        <w:t xml:space="preserve">, se remonta a  la década de los años 60s, en Estados Unidos  con estudios sobre el clima escolar y los programas masivos de intervención educativa, sin  embargo el informe de James Coleman, basado en la desigualdad de oportunidad educativa (raza y status socioeconómico). Su propósito era justificar la reforma educativa con la que se pensaba afrontar el conflicto y la desigualdad social. Teniendo como objetivo, identificar el grado de   segregación o discriminación existente en las escuelas frecuentadas por distintos grupos raciales, investigando la relación entre el rendimiento y los recursos disponibles en tales centros. </w:t>
      </w:r>
    </w:p>
    <w:p w14:paraId="2B774D5E" w14:textId="77777777" w:rsidR="0020793A" w:rsidRPr="00D83747" w:rsidRDefault="0020793A" w:rsidP="00D83747">
      <w:pPr>
        <w:spacing w:line="480" w:lineRule="auto"/>
        <w:jc w:val="both"/>
        <w:rPr>
          <w:rFonts w:ascii="Arial" w:hAnsi="Arial" w:cs="Arial"/>
        </w:rPr>
      </w:pPr>
      <w:r w:rsidRPr="00D83747">
        <w:rPr>
          <w:rFonts w:ascii="Arial" w:hAnsi="Arial" w:cs="Arial"/>
        </w:rPr>
        <w:t>El estudio tenía una muestra de más de medio millón de alumnos y aproximadamente más de sesenta mil profesores, que pertenecían a cuatro mil escuelas de los Estados Unidos, el estudio se fundamentaba en pruebas estandarizadas de rendimiento y aptitud para los alumnos, para los profesores una encuesta sobre su historial académico y sobre su experiencia educativa.</w:t>
      </w:r>
    </w:p>
    <w:p w14:paraId="1ADFD4E9" w14:textId="77777777" w:rsidR="0020793A" w:rsidRPr="00D83747" w:rsidRDefault="0020793A" w:rsidP="00D83747">
      <w:pPr>
        <w:spacing w:line="480" w:lineRule="auto"/>
        <w:jc w:val="both"/>
        <w:rPr>
          <w:rFonts w:ascii="Arial" w:hAnsi="Arial" w:cs="Arial"/>
        </w:rPr>
      </w:pPr>
      <w:r w:rsidRPr="00D83747">
        <w:rPr>
          <w:rFonts w:ascii="Arial" w:hAnsi="Arial" w:cs="Arial"/>
        </w:rPr>
        <w:t>Los resultados, publicados en 1966, era la escasa influencia que ejercían  los recursos educativos sobre el rendimiento, lo que significa que el efecto status socioeconómico, gasto por alumno, la experiencia del profesorado, la existencia de laboratorio de ciencias o el número de libros en la biblioteca, tenían poca influencia sobre el rendimiento escolar de los alumnos. El resultado más significativo es el de los alumnos que estudian en colegios diferentes tienen menos diferencias entre si, que los que estudian en el mismo colegio.</w:t>
      </w:r>
    </w:p>
    <w:p w14:paraId="17F7A63E" w14:textId="77777777" w:rsidR="0020793A" w:rsidRPr="00D83747" w:rsidRDefault="0020793A" w:rsidP="00D83747">
      <w:pPr>
        <w:spacing w:line="480" w:lineRule="auto"/>
        <w:jc w:val="both"/>
        <w:rPr>
          <w:rFonts w:ascii="Arial" w:hAnsi="Arial" w:cs="Arial"/>
        </w:rPr>
      </w:pPr>
      <w:r w:rsidRPr="00D83747">
        <w:rPr>
          <w:rFonts w:ascii="Arial" w:hAnsi="Arial" w:cs="Arial"/>
        </w:rPr>
        <w:t>Ante el resultado, los reformistas proyectaron un plan en dos direcciones:</w:t>
      </w:r>
    </w:p>
    <w:p w14:paraId="12B169D3" w14:textId="77777777" w:rsidR="0020793A" w:rsidRPr="00D83747" w:rsidRDefault="0020793A" w:rsidP="00D83747">
      <w:pPr>
        <w:pStyle w:val="Prrafodelista"/>
        <w:numPr>
          <w:ilvl w:val="0"/>
          <w:numId w:val="3"/>
        </w:numPr>
        <w:spacing w:line="480" w:lineRule="auto"/>
        <w:jc w:val="both"/>
        <w:rPr>
          <w:rFonts w:ascii="Arial" w:hAnsi="Arial" w:cs="Arial"/>
        </w:rPr>
      </w:pPr>
      <w:r w:rsidRPr="00D83747">
        <w:rPr>
          <w:rFonts w:ascii="Arial" w:hAnsi="Arial" w:cs="Arial"/>
        </w:rPr>
        <w:lastRenderedPageBreak/>
        <w:t>La búsqueda de evidencia alternativa, capaz de situar en sus justos términos algo que parecía inmediato al sentido común: que la escuela influye sobre el rendimiento de sus alumnos</w:t>
      </w:r>
    </w:p>
    <w:p w14:paraId="3B357A33" w14:textId="77777777" w:rsidR="0020793A" w:rsidRPr="00D83747" w:rsidRDefault="0020793A" w:rsidP="00D83747">
      <w:pPr>
        <w:pStyle w:val="Prrafodelista"/>
        <w:numPr>
          <w:ilvl w:val="0"/>
          <w:numId w:val="3"/>
        </w:numPr>
        <w:spacing w:line="480" w:lineRule="auto"/>
        <w:jc w:val="both"/>
        <w:rPr>
          <w:rFonts w:ascii="Arial" w:hAnsi="Arial" w:cs="Arial"/>
        </w:rPr>
      </w:pPr>
      <w:r w:rsidRPr="00D83747">
        <w:rPr>
          <w:rFonts w:ascii="Arial" w:hAnsi="Arial" w:cs="Arial"/>
        </w:rPr>
        <w:t>Un análisis en profundidad de los supuestos economicistas, implícitos en el informe de Coleman y en el modelo input-output  del rendimiento.</w:t>
      </w:r>
    </w:p>
    <w:p w14:paraId="0D9DD95C" w14:textId="77777777" w:rsidR="0020793A" w:rsidRPr="00D83747" w:rsidRDefault="0020793A" w:rsidP="00D83747">
      <w:pPr>
        <w:spacing w:line="480" w:lineRule="auto"/>
        <w:jc w:val="both"/>
        <w:rPr>
          <w:rFonts w:ascii="Arial" w:hAnsi="Arial" w:cs="Arial"/>
        </w:rPr>
      </w:pPr>
    </w:p>
    <w:p w14:paraId="7BA8684C" w14:textId="77777777" w:rsidR="0020793A" w:rsidRPr="00D83747" w:rsidRDefault="0020793A" w:rsidP="00D83747">
      <w:pPr>
        <w:spacing w:line="480" w:lineRule="auto"/>
        <w:jc w:val="both"/>
        <w:rPr>
          <w:rFonts w:ascii="Arial" w:hAnsi="Arial" w:cs="Arial"/>
        </w:rPr>
      </w:pPr>
      <w:r w:rsidRPr="00D83747">
        <w:rPr>
          <w:rFonts w:ascii="Arial" w:hAnsi="Arial" w:cs="Arial"/>
        </w:rPr>
        <w:t>Sin embargo, existen dos trabajos que contradicen el trabajo de Coleman, uno es el de Weber de 1971 y el de Klitgaard y Hall de 1974, este último se basa en la varianza total del rendimiento no puede ser exclusivamente explicada por las diferencias entre los alumnos, utilizando indicadores de eficacia como pruebas de lectura y matemáticas, analizando datos de diversas muestras escolares en la década de los 60s, este estudio no contradecía al 100% los resultados de Coleman, sino que mostraban que un número de centros optimizaba elocuentemente  una vez controlado el historial del alumno.</w:t>
      </w:r>
    </w:p>
    <w:p w14:paraId="164B55D9" w14:textId="3A4EEF24" w:rsidR="0020793A" w:rsidRPr="00D83747" w:rsidRDefault="0020793A" w:rsidP="00D83747">
      <w:pPr>
        <w:spacing w:line="480" w:lineRule="auto"/>
        <w:jc w:val="both"/>
        <w:rPr>
          <w:rFonts w:ascii="Arial" w:hAnsi="Arial" w:cs="Arial"/>
        </w:rPr>
      </w:pPr>
      <w:r w:rsidRPr="00D83747">
        <w:rPr>
          <w:rFonts w:ascii="Arial" w:hAnsi="Arial" w:cs="Arial"/>
        </w:rPr>
        <w:t>Las escuelas efectivas tienen 11 características clave, las cuales son:</w:t>
      </w:r>
    </w:p>
    <w:tbl>
      <w:tblPr>
        <w:tblStyle w:val="Tablaconcuadrcula"/>
        <w:tblW w:w="0" w:type="auto"/>
        <w:tblLook w:val="04A0" w:firstRow="1" w:lastRow="0" w:firstColumn="1" w:lastColumn="0" w:noHBand="0" w:noVBand="1"/>
      </w:tblPr>
      <w:tblGrid>
        <w:gridCol w:w="3539"/>
        <w:gridCol w:w="5289"/>
      </w:tblGrid>
      <w:tr w:rsidR="0020793A" w:rsidRPr="00D83747" w14:paraId="5418610D" w14:textId="77777777" w:rsidTr="00A86B52">
        <w:tc>
          <w:tcPr>
            <w:tcW w:w="3539" w:type="dxa"/>
          </w:tcPr>
          <w:p w14:paraId="63291197" w14:textId="77777777" w:rsidR="0020793A" w:rsidRPr="00D83747" w:rsidRDefault="0020793A" w:rsidP="00D83747">
            <w:pPr>
              <w:autoSpaceDE w:val="0"/>
              <w:autoSpaceDN w:val="0"/>
              <w:adjustRightInd w:val="0"/>
              <w:jc w:val="both"/>
              <w:rPr>
                <w:rFonts w:ascii="Arial" w:eastAsia="Arial Unicode MS" w:hAnsi="Arial" w:cs="Arial"/>
                <w:sz w:val="20"/>
                <w:szCs w:val="20"/>
              </w:rPr>
            </w:pPr>
          </w:p>
          <w:p w14:paraId="3994AAB1"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t xml:space="preserve">1. Liderazgo profesional: </w:t>
            </w:r>
          </w:p>
          <w:p w14:paraId="1765242A" w14:textId="77777777" w:rsidR="0020793A" w:rsidRPr="00D83747" w:rsidRDefault="0020793A" w:rsidP="00D83747">
            <w:pPr>
              <w:autoSpaceDE w:val="0"/>
              <w:autoSpaceDN w:val="0"/>
              <w:adjustRightInd w:val="0"/>
              <w:rPr>
                <w:rFonts w:ascii="Arial" w:eastAsia="Arial Unicode MS" w:hAnsi="Arial" w:cs="Arial"/>
                <w:sz w:val="20"/>
                <w:szCs w:val="20"/>
              </w:rPr>
            </w:pPr>
          </w:p>
        </w:tc>
        <w:tc>
          <w:tcPr>
            <w:tcW w:w="5289" w:type="dxa"/>
          </w:tcPr>
          <w:p w14:paraId="1E292D43" w14:textId="77777777" w:rsidR="0020793A" w:rsidRPr="00D83747" w:rsidRDefault="0020793A" w:rsidP="00D83747">
            <w:pPr>
              <w:pStyle w:val="Prrafodelista"/>
              <w:numPr>
                <w:ilvl w:val="0"/>
                <w:numId w:val="2"/>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 xml:space="preserve">Firme y dirigido.      </w:t>
            </w:r>
          </w:p>
          <w:p w14:paraId="2CBA1A30" w14:textId="77777777" w:rsidR="0020793A" w:rsidRPr="00D83747" w:rsidRDefault="0020793A" w:rsidP="00D83747">
            <w:pPr>
              <w:pStyle w:val="Prrafodelista"/>
              <w:numPr>
                <w:ilvl w:val="0"/>
                <w:numId w:val="2"/>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Enfoque participativo</w:t>
            </w:r>
          </w:p>
          <w:p w14:paraId="7A8B7BC6" w14:textId="77777777" w:rsidR="0020793A" w:rsidRPr="00D83747" w:rsidRDefault="0020793A" w:rsidP="00D83747">
            <w:pPr>
              <w:pStyle w:val="Prrafodelista"/>
              <w:numPr>
                <w:ilvl w:val="0"/>
                <w:numId w:val="2"/>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Profesionista sobresaliente</w:t>
            </w:r>
          </w:p>
        </w:tc>
      </w:tr>
      <w:tr w:rsidR="0020793A" w:rsidRPr="00D83747" w14:paraId="670F026D" w14:textId="77777777" w:rsidTr="00A86B52">
        <w:tc>
          <w:tcPr>
            <w:tcW w:w="3539" w:type="dxa"/>
          </w:tcPr>
          <w:p w14:paraId="46500EF5"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t>2. Visión y objetivos compartidos:</w:t>
            </w:r>
          </w:p>
        </w:tc>
        <w:tc>
          <w:tcPr>
            <w:tcW w:w="5289" w:type="dxa"/>
          </w:tcPr>
          <w:p w14:paraId="085AA1AD" w14:textId="77777777" w:rsidR="0020793A" w:rsidRPr="00D83747" w:rsidRDefault="0020793A" w:rsidP="00D83747">
            <w:pPr>
              <w:autoSpaceDE w:val="0"/>
              <w:autoSpaceDN w:val="0"/>
              <w:adjustRightInd w:val="0"/>
              <w:rPr>
                <w:rFonts w:ascii="Arial" w:eastAsia="Arial Unicode MS" w:hAnsi="Arial" w:cs="Arial"/>
                <w:sz w:val="20"/>
                <w:szCs w:val="20"/>
              </w:rPr>
            </w:pPr>
          </w:p>
          <w:p w14:paraId="17F92711"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Unidad de propósito</w:t>
            </w:r>
          </w:p>
          <w:p w14:paraId="4C5C7A03"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Consistencia en la práctica</w:t>
            </w:r>
          </w:p>
          <w:p w14:paraId="12C19FD5"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Colaboración y trabajo colegiado</w:t>
            </w:r>
          </w:p>
          <w:p w14:paraId="291D6095" w14:textId="77777777" w:rsidR="0020793A" w:rsidRPr="00D83747" w:rsidRDefault="0020793A" w:rsidP="00D83747">
            <w:pPr>
              <w:autoSpaceDE w:val="0"/>
              <w:autoSpaceDN w:val="0"/>
              <w:adjustRightInd w:val="0"/>
              <w:rPr>
                <w:rFonts w:ascii="Arial" w:eastAsia="Arial Unicode MS" w:hAnsi="Arial" w:cs="Arial"/>
                <w:sz w:val="20"/>
                <w:szCs w:val="20"/>
              </w:rPr>
            </w:pPr>
          </w:p>
        </w:tc>
      </w:tr>
      <w:tr w:rsidR="0020793A" w:rsidRPr="00D83747" w14:paraId="3D99C402" w14:textId="77777777" w:rsidTr="00A86B52">
        <w:tc>
          <w:tcPr>
            <w:tcW w:w="3539" w:type="dxa"/>
          </w:tcPr>
          <w:p w14:paraId="45DD08AF"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t>3. Ambiente de aprendizaje:</w:t>
            </w:r>
          </w:p>
        </w:tc>
        <w:tc>
          <w:tcPr>
            <w:tcW w:w="5289" w:type="dxa"/>
          </w:tcPr>
          <w:p w14:paraId="4BA2E96E"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Atmósfera ordenada</w:t>
            </w:r>
          </w:p>
          <w:p w14:paraId="43E20238"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Ambiente de trabajo atractivo</w:t>
            </w:r>
          </w:p>
          <w:p w14:paraId="507BEF57" w14:textId="77777777" w:rsidR="0020793A" w:rsidRPr="00D83747" w:rsidRDefault="0020793A" w:rsidP="00D83747">
            <w:pPr>
              <w:autoSpaceDE w:val="0"/>
              <w:autoSpaceDN w:val="0"/>
              <w:adjustRightInd w:val="0"/>
              <w:rPr>
                <w:rFonts w:ascii="Arial" w:eastAsia="Arial Unicode MS" w:hAnsi="Arial" w:cs="Arial"/>
                <w:sz w:val="20"/>
                <w:szCs w:val="20"/>
              </w:rPr>
            </w:pPr>
          </w:p>
        </w:tc>
      </w:tr>
      <w:tr w:rsidR="0020793A" w:rsidRPr="00D83747" w14:paraId="6A6EF03F" w14:textId="77777777" w:rsidTr="00A86B52">
        <w:tc>
          <w:tcPr>
            <w:tcW w:w="3539" w:type="dxa"/>
          </w:tcPr>
          <w:p w14:paraId="4F014DAD"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t>4. Le enseñanza y el aprendizaje</w:t>
            </w:r>
          </w:p>
        </w:tc>
        <w:tc>
          <w:tcPr>
            <w:tcW w:w="5289" w:type="dxa"/>
          </w:tcPr>
          <w:p w14:paraId="000DD499"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 xml:space="preserve">Optimización del tiempo de aprendizaje como centro de la actividad escolar: </w:t>
            </w:r>
          </w:p>
          <w:p w14:paraId="2DA19087"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 xml:space="preserve"> Énfasis académico</w:t>
            </w:r>
          </w:p>
          <w:p w14:paraId="2A32658F"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Enfoque en el aprovechamiento</w:t>
            </w:r>
          </w:p>
        </w:tc>
      </w:tr>
      <w:tr w:rsidR="0020793A" w:rsidRPr="00D83747" w14:paraId="2481E25E" w14:textId="77777777" w:rsidTr="00A86B52">
        <w:tc>
          <w:tcPr>
            <w:tcW w:w="3539" w:type="dxa"/>
          </w:tcPr>
          <w:p w14:paraId="3D037DCC" w14:textId="77777777" w:rsidR="0020793A" w:rsidRPr="00D83747" w:rsidRDefault="0020793A" w:rsidP="00D83747">
            <w:pPr>
              <w:autoSpaceDE w:val="0"/>
              <w:autoSpaceDN w:val="0"/>
              <w:adjustRightInd w:val="0"/>
              <w:rPr>
                <w:rFonts w:ascii="Arial" w:eastAsia="Arial Unicode MS" w:hAnsi="Arial" w:cs="Arial"/>
                <w:sz w:val="20"/>
                <w:szCs w:val="20"/>
              </w:rPr>
            </w:pPr>
          </w:p>
          <w:p w14:paraId="49FDDDF1"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t>5. Enseñanza con propósito</w:t>
            </w:r>
          </w:p>
        </w:tc>
        <w:tc>
          <w:tcPr>
            <w:tcW w:w="5289" w:type="dxa"/>
          </w:tcPr>
          <w:p w14:paraId="2B38306F"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Organización eficiente</w:t>
            </w:r>
          </w:p>
          <w:p w14:paraId="25A6C98C"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Claridad de propósitos</w:t>
            </w:r>
          </w:p>
          <w:p w14:paraId="0A8ED4AF" w14:textId="77777777" w:rsidR="0020793A" w:rsidRPr="00D83747" w:rsidRDefault="0020793A" w:rsidP="00D83747">
            <w:pPr>
              <w:pStyle w:val="Prrafodelista"/>
              <w:numPr>
                <w:ilvl w:val="0"/>
                <w:numId w:val="4"/>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Práctica adaptable</w:t>
            </w:r>
          </w:p>
        </w:tc>
      </w:tr>
      <w:tr w:rsidR="0020793A" w:rsidRPr="00D83747" w14:paraId="4C387061" w14:textId="77777777" w:rsidTr="00A86B52">
        <w:tc>
          <w:tcPr>
            <w:tcW w:w="3539" w:type="dxa"/>
          </w:tcPr>
          <w:p w14:paraId="25D5EABF"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t>6. Expectativas elevadas</w:t>
            </w:r>
          </w:p>
        </w:tc>
        <w:tc>
          <w:tcPr>
            <w:tcW w:w="5289" w:type="dxa"/>
          </w:tcPr>
          <w:p w14:paraId="1A9B5683" w14:textId="77777777" w:rsidR="0020793A" w:rsidRPr="00D83747" w:rsidRDefault="0020793A" w:rsidP="00D83747">
            <w:pPr>
              <w:pStyle w:val="Prrafodelista"/>
              <w:numPr>
                <w:ilvl w:val="0"/>
                <w:numId w:val="5"/>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Expectativas globales elevadas</w:t>
            </w:r>
          </w:p>
          <w:p w14:paraId="5452B11C" w14:textId="77777777" w:rsidR="0020793A" w:rsidRPr="00D83747" w:rsidRDefault="0020793A" w:rsidP="00D83747">
            <w:pPr>
              <w:pStyle w:val="Prrafodelista"/>
              <w:numPr>
                <w:ilvl w:val="0"/>
                <w:numId w:val="5"/>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Comunicación de expectativas</w:t>
            </w:r>
          </w:p>
          <w:p w14:paraId="036170FE" w14:textId="77777777" w:rsidR="0020793A" w:rsidRPr="00D83747" w:rsidRDefault="0020793A" w:rsidP="00D83747">
            <w:pPr>
              <w:pStyle w:val="Prrafodelista"/>
              <w:numPr>
                <w:ilvl w:val="0"/>
                <w:numId w:val="5"/>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Desafío intelectual</w:t>
            </w:r>
          </w:p>
        </w:tc>
      </w:tr>
      <w:tr w:rsidR="0020793A" w:rsidRPr="00D83747" w14:paraId="7B7C8F0B" w14:textId="77777777" w:rsidTr="00A86B52">
        <w:tc>
          <w:tcPr>
            <w:tcW w:w="3539" w:type="dxa"/>
          </w:tcPr>
          <w:p w14:paraId="2C3C043E" w14:textId="77777777" w:rsidR="0020793A" w:rsidRPr="00D83747" w:rsidRDefault="0020793A" w:rsidP="00D83747">
            <w:pPr>
              <w:autoSpaceDE w:val="0"/>
              <w:autoSpaceDN w:val="0"/>
              <w:adjustRightInd w:val="0"/>
              <w:rPr>
                <w:rFonts w:ascii="Arial" w:eastAsia="Arial Unicode MS" w:hAnsi="Arial" w:cs="Arial"/>
                <w:sz w:val="20"/>
                <w:szCs w:val="20"/>
              </w:rPr>
            </w:pPr>
          </w:p>
          <w:p w14:paraId="157B918C"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lastRenderedPageBreak/>
              <w:t>7.Reforzamiento Positivo</w:t>
            </w:r>
          </w:p>
          <w:p w14:paraId="408B653A" w14:textId="77777777" w:rsidR="0020793A" w:rsidRPr="00D83747" w:rsidRDefault="0020793A" w:rsidP="00D83747">
            <w:pPr>
              <w:autoSpaceDE w:val="0"/>
              <w:autoSpaceDN w:val="0"/>
              <w:adjustRightInd w:val="0"/>
              <w:ind w:left="360"/>
              <w:rPr>
                <w:rFonts w:ascii="Arial" w:eastAsia="Arial Unicode MS" w:hAnsi="Arial" w:cs="Arial"/>
                <w:sz w:val="20"/>
                <w:szCs w:val="20"/>
              </w:rPr>
            </w:pPr>
          </w:p>
        </w:tc>
        <w:tc>
          <w:tcPr>
            <w:tcW w:w="5289" w:type="dxa"/>
          </w:tcPr>
          <w:p w14:paraId="3EB732D8" w14:textId="77777777" w:rsidR="0020793A" w:rsidRPr="00D83747" w:rsidRDefault="0020793A" w:rsidP="00D83747">
            <w:pPr>
              <w:pStyle w:val="Prrafodelista"/>
              <w:numPr>
                <w:ilvl w:val="0"/>
                <w:numId w:val="5"/>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lastRenderedPageBreak/>
              <w:t>Disciplina clara y justa</w:t>
            </w:r>
          </w:p>
          <w:p w14:paraId="15265AF8" w14:textId="77777777" w:rsidR="0020793A" w:rsidRPr="00D83747" w:rsidRDefault="0020793A" w:rsidP="00D83747">
            <w:pPr>
              <w:pStyle w:val="Prrafodelista"/>
              <w:numPr>
                <w:ilvl w:val="0"/>
                <w:numId w:val="5"/>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lastRenderedPageBreak/>
              <w:t>Retroalimentación</w:t>
            </w:r>
          </w:p>
        </w:tc>
      </w:tr>
      <w:tr w:rsidR="0020793A" w:rsidRPr="00D83747" w14:paraId="39ECA912" w14:textId="77777777" w:rsidTr="00A86B52">
        <w:tc>
          <w:tcPr>
            <w:tcW w:w="3539" w:type="dxa"/>
          </w:tcPr>
          <w:p w14:paraId="7488869D"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lastRenderedPageBreak/>
              <w:t>8. Seguimiento de avances</w:t>
            </w:r>
          </w:p>
        </w:tc>
        <w:tc>
          <w:tcPr>
            <w:tcW w:w="5289" w:type="dxa"/>
          </w:tcPr>
          <w:p w14:paraId="34A12B59" w14:textId="77777777" w:rsidR="0020793A" w:rsidRPr="00D83747" w:rsidRDefault="0020793A" w:rsidP="00D83747">
            <w:pPr>
              <w:pStyle w:val="Prrafodelista"/>
              <w:numPr>
                <w:ilvl w:val="0"/>
                <w:numId w:val="5"/>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Seguimiento de desempeño del alumno</w:t>
            </w:r>
          </w:p>
          <w:p w14:paraId="2608C7FB" w14:textId="77777777" w:rsidR="0020793A" w:rsidRPr="00D83747" w:rsidRDefault="0020793A" w:rsidP="00D83747">
            <w:pPr>
              <w:pStyle w:val="Prrafodelista"/>
              <w:numPr>
                <w:ilvl w:val="0"/>
                <w:numId w:val="5"/>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Evaluación del funcionamiento de la escuela</w:t>
            </w:r>
          </w:p>
        </w:tc>
      </w:tr>
      <w:tr w:rsidR="0020793A" w:rsidRPr="00D83747" w14:paraId="2CB6E766" w14:textId="77777777" w:rsidTr="00A86B52">
        <w:tc>
          <w:tcPr>
            <w:tcW w:w="3539" w:type="dxa"/>
          </w:tcPr>
          <w:p w14:paraId="471EFCEB"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t>9. Derechos y responsabilidades de los</w:t>
            </w:r>
          </w:p>
        </w:tc>
        <w:tc>
          <w:tcPr>
            <w:tcW w:w="5289" w:type="dxa"/>
          </w:tcPr>
          <w:p w14:paraId="0AD993FF" w14:textId="77777777" w:rsidR="0020793A" w:rsidRPr="00D83747" w:rsidRDefault="0020793A" w:rsidP="00D83747">
            <w:pPr>
              <w:pStyle w:val="Prrafodelista"/>
              <w:numPr>
                <w:ilvl w:val="0"/>
                <w:numId w:val="6"/>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Elevar la autoestima del alumno</w:t>
            </w:r>
          </w:p>
          <w:p w14:paraId="580F6232" w14:textId="77777777" w:rsidR="0020793A" w:rsidRPr="00D83747" w:rsidRDefault="0020793A" w:rsidP="00D83747">
            <w:pPr>
              <w:pStyle w:val="Prrafodelista"/>
              <w:numPr>
                <w:ilvl w:val="0"/>
                <w:numId w:val="6"/>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Posiciones de responsabilidad</w:t>
            </w:r>
          </w:p>
          <w:p w14:paraId="6136F9B8" w14:textId="77777777" w:rsidR="0020793A" w:rsidRPr="00D83747" w:rsidRDefault="0020793A" w:rsidP="00D83747">
            <w:pPr>
              <w:pStyle w:val="Prrafodelista"/>
              <w:numPr>
                <w:ilvl w:val="0"/>
                <w:numId w:val="6"/>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Control del trabajo.</w:t>
            </w:r>
          </w:p>
          <w:p w14:paraId="1516F4B8" w14:textId="77777777" w:rsidR="0020793A" w:rsidRPr="00D83747" w:rsidRDefault="0020793A" w:rsidP="00D83747">
            <w:pPr>
              <w:autoSpaceDE w:val="0"/>
              <w:autoSpaceDN w:val="0"/>
              <w:adjustRightInd w:val="0"/>
              <w:rPr>
                <w:rFonts w:ascii="Arial" w:eastAsia="Arial Unicode MS" w:hAnsi="Arial" w:cs="Arial"/>
                <w:sz w:val="20"/>
                <w:szCs w:val="20"/>
              </w:rPr>
            </w:pPr>
          </w:p>
        </w:tc>
      </w:tr>
      <w:tr w:rsidR="0020793A" w:rsidRPr="00D83747" w14:paraId="5AB589FE" w14:textId="77777777" w:rsidTr="00A86B52">
        <w:tc>
          <w:tcPr>
            <w:tcW w:w="3539" w:type="dxa"/>
          </w:tcPr>
          <w:p w14:paraId="7FD80280"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t>10. Colaboración hogar – escuela</w:t>
            </w:r>
          </w:p>
        </w:tc>
        <w:tc>
          <w:tcPr>
            <w:tcW w:w="5289" w:type="dxa"/>
          </w:tcPr>
          <w:p w14:paraId="1CE4EF86" w14:textId="77777777" w:rsidR="0020793A" w:rsidRPr="00D83747" w:rsidRDefault="0020793A" w:rsidP="00D83747">
            <w:pPr>
              <w:pStyle w:val="Prrafodelista"/>
              <w:numPr>
                <w:ilvl w:val="0"/>
                <w:numId w:val="6"/>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Participación de los padres en el aprendizaje de sus hijos</w:t>
            </w:r>
          </w:p>
          <w:p w14:paraId="15C5A772" w14:textId="77777777" w:rsidR="0020793A" w:rsidRPr="00D83747" w:rsidRDefault="0020793A" w:rsidP="00D83747">
            <w:pPr>
              <w:autoSpaceDE w:val="0"/>
              <w:autoSpaceDN w:val="0"/>
              <w:adjustRightInd w:val="0"/>
              <w:rPr>
                <w:rFonts w:ascii="Arial" w:eastAsia="Arial Unicode MS" w:hAnsi="Arial" w:cs="Arial"/>
                <w:sz w:val="20"/>
                <w:szCs w:val="20"/>
              </w:rPr>
            </w:pPr>
          </w:p>
        </w:tc>
      </w:tr>
      <w:tr w:rsidR="0020793A" w:rsidRPr="00D83747" w14:paraId="21F0E132" w14:textId="77777777" w:rsidTr="00A86B52">
        <w:tc>
          <w:tcPr>
            <w:tcW w:w="3539" w:type="dxa"/>
          </w:tcPr>
          <w:p w14:paraId="017BBD5A" w14:textId="77777777" w:rsidR="0020793A" w:rsidRPr="00D83747" w:rsidRDefault="0020793A" w:rsidP="00D83747">
            <w:pPr>
              <w:autoSpaceDE w:val="0"/>
              <w:autoSpaceDN w:val="0"/>
              <w:adjustRightInd w:val="0"/>
              <w:rPr>
                <w:rFonts w:ascii="Arial" w:eastAsia="Arial Unicode MS" w:hAnsi="Arial" w:cs="Arial"/>
                <w:sz w:val="20"/>
                <w:szCs w:val="20"/>
              </w:rPr>
            </w:pPr>
            <w:r w:rsidRPr="00D83747">
              <w:rPr>
                <w:rFonts w:ascii="Arial" w:eastAsia="Arial Unicode MS" w:hAnsi="Arial" w:cs="Arial"/>
                <w:sz w:val="20"/>
                <w:szCs w:val="20"/>
              </w:rPr>
              <w:t>11. Una organización para el aprendizaje</w:t>
            </w:r>
          </w:p>
        </w:tc>
        <w:tc>
          <w:tcPr>
            <w:tcW w:w="5289" w:type="dxa"/>
          </w:tcPr>
          <w:p w14:paraId="031BE4A4" w14:textId="77777777" w:rsidR="0020793A" w:rsidRPr="00D83747" w:rsidRDefault="0020793A" w:rsidP="00D83747">
            <w:pPr>
              <w:pStyle w:val="Prrafodelista"/>
              <w:numPr>
                <w:ilvl w:val="0"/>
                <w:numId w:val="6"/>
              </w:numPr>
              <w:autoSpaceDE w:val="0"/>
              <w:autoSpaceDN w:val="0"/>
              <w:adjustRightInd w:val="0"/>
              <w:rPr>
                <w:rFonts w:ascii="Arial" w:eastAsia="Arial Unicode MS" w:hAnsi="Arial" w:cs="Arial"/>
                <w:sz w:val="20"/>
                <w:szCs w:val="20"/>
                <w:lang w:val="es-MX"/>
              </w:rPr>
            </w:pPr>
            <w:r w:rsidRPr="00D83747">
              <w:rPr>
                <w:rFonts w:ascii="Arial" w:eastAsia="Arial Unicode MS" w:hAnsi="Arial" w:cs="Arial"/>
                <w:sz w:val="20"/>
                <w:szCs w:val="20"/>
                <w:lang w:val="es-MX"/>
              </w:rPr>
              <w:t>Formación y actualización del personal académico basadas en la escuela.</w:t>
            </w:r>
          </w:p>
          <w:p w14:paraId="601F0ADE" w14:textId="77777777" w:rsidR="0020793A" w:rsidRPr="00D83747" w:rsidRDefault="0020793A" w:rsidP="00D83747">
            <w:pPr>
              <w:autoSpaceDE w:val="0"/>
              <w:autoSpaceDN w:val="0"/>
              <w:adjustRightInd w:val="0"/>
              <w:rPr>
                <w:rFonts w:ascii="Arial" w:eastAsia="Arial Unicode MS" w:hAnsi="Arial" w:cs="Arial"/>
                <w:sz w:val="20"/>
                <w:szCs w:val="20"/>
              </w:rPr>
            </w:pPr>
          </w:p>
        </w:tc>
      </w:tr>
    </w:tbl>
    <w:p w14:paraId="30FBEDAB" w14:textId="77777777" w:rsidR="0020793A" w:rsidRPr="00D83747" w:rsidRDefault="0020793A" w:rsidP="00D83747">
      <w:pPr>
        <w:autoSpaceDE w:val="0"/>
        <w:autoSpaceDN w:val="0"/>
        <w:adjustRightInd w:val="0"/>
        <w:spacing w:after="0" w:line="480" w:lineRule="auto"/>
        <w:jc w:val="both"/>
        <w:rPr>
          <w:rFonts w:ascii="Arial" w:hAnsi="Arial" w:cs="Arial"/>
        </w:rPr>
      </w:pPr>
      <w:r w:rsidRPr="00D83747">
        <w:rPr>
          <w:rFonts w:ascii="Arial" w:hAnsi="Arial" w:cs="Arial"/>
          <w:i/>
        </w:rPr>
        <w:t>Fuente</w:t>
      </w:r>
      <w:sdt>
        <w:sdtPr>
          <w:rPr>
            <w:rFonts w:ascii="Arial" w:hAnsi="Arial" w:cs="Arial"/>
            <w:i/>
          </w:rPr>
          <w:id w:val="-1412150144"/>
          <w:citation/>
        </w:sdtPr>
        <w:sdtEndPr/>
        <w:sdtContent>
          <w:r w:rsidRPr="00D83747">
            <w:rPr>
              <w:rFonts w:ascii="Arial" w:hAnsi="Arial" w:cs="Arial"/>
              <w:i/>
            </w:rPr>
            <w:fldChar w:fldCharType="begin"/>
          </w:r>
          <w:r w:rsidRPr="00D83747">
            <w:rPr>
              <w:rFonts w:ascii="Arial" w:hAnsi="Arial" w:cs="Arial"/>
              <w:i/>
            </w:rPr>
            <w:instrText xml:space="preserve"> CITATION Pam14 \l 1034 </w:instrText>
          </w:r>
          <w:r w:rsidRPr="00D83747">
            <w:rPr>
              <w:rFonts w:ascii="Arial" w:hAnsi="Arial" w:cs="Arial"/>
              <w:i/>
            </w:rPr>
            <w:fldChar w:fldCharType="separate"/>
          </w:r>
          <w:r w:rsidR="003109EA" w:rsidRPr="00D83747">
            <w:rPr>
              <w:rFonts w:ascii="Arial" w:hAnsi="Arial" w:cs="Arial"/>
              <w:i/>
              <w:noProof/>
            </w:rPr>
            <w:t xml:space="preserve"> </w:t>
          </w:r>
          <w:r w:rsidR="003109EA" w:rsidRPr="00D83747">
            <w:rPr>
              <w:rFonts w:ascii="Arial" w:hAnsi="Arial" w:cs="Arial"/>
              <w:noProof/>
            </w:rPr>
            <w:t>(Pam Sammons, Características clave de las escuelas efectivas )</w:t>
          </w:r>
          <w:r w:rsidRPr="00D83747">
            <w:rPr>
              <w:rFonts w:ascii="Arial" w:hAnsi="Arial" w:cs="Arial"/>
              <w:i/>
            </w:rPr>
            <w:fldChar w:fldCharType="end"/>
          </w:r>
        </w:sdtContent>
      </w:sdt>
    </w:p>
    <w:p w14:paraId="4A28E6F3" w14:textId="77777777" w:rsidR="003A0B38" w:rsidRPr="00D83747" w:rsidRDefault="003A0B38" w:rsidP="00D83747">
      <w:pPr>
        <w:spacing w:line="480" w:lineRule="auto"/>
        <w:rPr>
          <w:rFonts w:ascii="Arial" w:hAnsi="Arial" w:cs="Arial"/>
        </w:rPr>
      </w:pPr>
    </w:p>
    <w:p w14:paraId="6F787DD1" w14:textId="29A31C51" w:rsidR="00A86B52" w:rsidRPr="00D83747" w:rsidRDefault="00A86B52" w:rsidP="00D83747">
      <w:pPr>
        <w:spacing w:line="480" w:lineRule="auto"/>
        <w:rPr>
          <w:rFonts w:ascii="Arial" w:hAnsi="Arial" w:cs="Arial"/>
        </w:rPr>
      </w:pPr>
      <w:r w:rsidRPr="00D83747">
        <w:rPr>
          <w:rFonts w:ascii="Arial" w:hAnsi="Arial" w:cs="Arial"/>
        </w:rPr>
        <w:t xml:space="preserve">Los resultados de estos trabajos de escuelas efectivas son relevantes en tanto que permiten relacionarlos con el presente estudio. </w:t>
      </w:r>
    </w:p>
    <w:p w14:paraId="4BD97CEE" w14:textId="501CA2CE" w:rsidR="0020793A" w:rsidRPr="00D83747" w:rsidRDefault="003109EA" w:rsidP="00D83747">
      <w:pPr>
        <w:spacing w:line="480" w:lineRule="auto"/>
        <w:rPr>
          <w:rFonts w:ascii="Arial" w:hAnsi="Arial" w:cs="Arial"/>
          <w:b/>
        </w:rPr>
      </w:pPr>
      <w:r w:rsidRPr="00D83747">
        <w:rPr>
          <w:rFonts w:ascii="Arial" w:hAnsi="Arial" w:cs="Arial"/>
          <w:b/>
        </w:rPr>
        <w:t>Método</w:t>
      </w:r>
    </w:p>
    <w:p w14:paraId="3675D602" w14:textId="0595EB7C" w:rsidR="00B37058" w:rsidRPr="00D83747" w:rsidRDefault="00B37058" w:rsidP="00D83747">
      <w:pPr>
        <w:spacing w:line="480" w:lineRule="auto"/>
        <w:jc w:val="both"/>
        <w:rPr>
          <w:rFonts w:ascii="Arial" w:hAnsi="Arial" w:cs="Arial"/>
        </w:rPr>
      </w:pPr>
      <w:r w:rsidRPr="00D83747">
        <w:rPr>
          <w:rFonts w:ascii="Arial" w:hAnsi="Arial" w:cs="Arial"/>
        </w:rPr>
        <w:t xml:space="preserve">El método </w:t>
      </w:r>
      <w:r w:rsidR="00A86B52" w:rsidRPr="00D83747">
        <w:rPr>
          <w:rFonts w:ascii="Arial" w:hAnsi="Arial" w:cs="Arial"/>
        </w:rPr>
        <w:t xml:space="preserve">utilizado para alcanzar el objetivo para la caracterización de las 43 escuelas </w:t>
      </w:r>
      <w:r w:rsidRPr="00D83747">
        <w:rPr>
          <w:rFonts w:ascii="Arial" w:hAnsi="Arial" w:cs="Arial"/>
        </w:rPr>
        <w:t xml:space="preserve"> es de corte cuantitativo, s</w:t>
      </w:r>
      <w:r w:rsidR="003109EA" w:rsidRPr="00D83747">
        <w:rPr>
          <w:rFonts w:ascii="Arial" w:hAnsi="Arial" w:cs="Arial"/>
        </w:rPr>
        <w:t>egún Marcelo en</w:t>
      </w:r>
      <w:sdt>
        <w:sdtPr>
          <w:rPr>
            <w:rFonts w:ascii="Arial" w:hAnsi="Arial" w:cs="Arial"/>
          </w:rPr>
          <w:id w:val="220102334"/>
          <w:citation/>
        </w:sdtPr>
        <w:sdtContent>
          <w:r w:rsidR="003109EA" w:rsidRPr="00D83747">
            <w:rPr>
              <w:rFonts w:ascii="Arial" w:hAnsi="Arial" w:cs="Arial"/>
            </w:rPr>
            <w:fldChar w:fldCharType="begin"/>
          </w:r>
          <w:r w:rsidR="003109EA" w:rsidRPr="00D83747">
            <w:rPr>
              <w:rFonts w:ascii="Arial" w:hAnsi="Arial" w:cs="Arial"/>
            </w:rPr>
            <w:instrText xml:space="preserve"> CITATION Gom \l 2058 </w:instrText>
          </w:r>
          <w:r w:rsidR="003109EA" w:rsidRPr="00D83747">
            <w:rPr>
              <w:rFonts w:ascii="Arial" w:hAnsi="Arial" w:cs="Arial"/>
            </w:rPr>
            <w:fldChar w:fldCharType="separate"/>
          </w:r>
          <w:r w:rsidR="003109EA" w:rsidRPr="00D83747">
            <w:rPr>
              <w:rFonts w:ascii="Arial" w:hAnsi="Arial" w:cs="Arial"/>
              <w:noProof/>
            </w:rPr>
            <w:t xml:space="preserve"> (Gomez M, 2006)</w:t>
          </w:r>
          <w:r w:rsidR="003109EA" w:rsidRPr="00D83747">
            <w:rPr>
              <w:rFonts w:ascii="Arial" w:hAnsi="Arial" w:cs="Arial"/>
            </w:rPr>
            <w:fldChar w:fldCharType="end"/>
          </w:r>
        </w:sdtContent>
      </w:sdt>
      <w:r w:rsidR="003109EA" w:rsidRPr="00D83747">
        <w:rPr>
          <w:rFonts w:ascii="Arial" w:hAnsi="Arial" w:cs="Arial"/>
        </w:rPr>
        <w:t xml:space="preserve"> </w:t>
      </w:r>
      <w:r w:rsidRPr="00D83747">
        <w:rPr>
          <w:rFonts w:ascii="Arial" w:hAnsi="Arial" w:cs="Arial"/>
        </w:rPr>
        <w:t xml:space="preserve"> la investigación cuantitativa utiliza la recolección de datos para cont</w:t>
      </w:r>
      <w:r w:rsidR="00A86B52" w:rsidRPr="00D83747">
        <w:rPr>
          <w:rFonts w:ascii="Arial" w:hAnsi="Arial" w:cs="Arial"/>
        </w:rPr>
        <w:t>estar preguntas</w:t>
      </w:r>
      <w:r w:rsidRPr="00D83747">
        <w:rPr>
          <w:rFonts w:ascii="Arial" w:hAnsi="Arial" w:cs="Arial"/>
        </w:rPr>
        <w:t xml:space="preserve"> y probar hipótesis establecidas previamente, y confía en la  medición numérica, el conteo y el uso de estadística para intentar establecer con exactitud patrones en</w:t>
      </w:r>
      <w:r w:rsidR="00020BDE" w:rsidRPr="00D83747">
        <w:rPr>
          <w:rFonts w:ascii="Arial" w:hAnsi="Arial" w:cs="Arial"/>
        </w:rPr>
        <w:t xml:space="preserve"> </w:t>
      </w:r>
      <w:r w:rsidRPr="00D83747">
        <w:rPr>
          <w:rFonts w:ascii="Arial" w:hAnsi="Arial" w:cs="Arial"/>
        </w:rPr>
        <w:t>una población. Por lo tanto es común que se utilicé primero para descubrir y refinar preguntas de investigación, sin que se prueben las hipótesis.</w:t>
      </w:r>
      <w:sdt>
        <w:sdtPr>
          <w:rPr>
            <w:rFonts w:ascii="Arial" w:hAnsi="Arial" w:cs="Arial"/>
          </w:rPr>
          <w:id w:val="-111755963"/>
          <w:citation/>
        </w:sdtPr>
        <w:sdtEndPr/>
        <w:sdtContent>
          <w:r w:rsidRPr="00D83747">
            <w:rPr>
              <w:rFonts w:ascii="Arial" w:hAnsi="Arial" w:cs="Arial"/>
            </w:rPr>
            <w:fldChar w:fldCharType="begin"/>
          </w:r>
          <w:r w:rsidRPr="00D83747">
            <w:rPr>
              <w:rFonts w:ascii="Arial" w:hAnsi="Arial" w:cs="Arial"/>
            </w:rPr>
            <w:instrText xml:space="preserve"> CITATION Gom \l 2058 </w:instrText>
          </w:r>
          <w:r w:rsidRPr="00D83747">
            <w:rPr>
              <w:rFonts w:ascii="Arial" w:hAnsi="Arial" w:cs="Arial"/>
            </w:rPr>
            <w:fldChar w:fldCharType="separate"/>
          </w:r>
          <w:r w:rsidR="003109EA" w:rsidRPr="00D83747">
            <w:rPr>
              <w:rFonts w:ascii="Arial" w:hAnsi="Arial" w:cs="Arial"/>
              <w:noProof/>
            </w:rPr>
            <w:t xml:space="preserve"> (Gomez M, 2006)</w:t>
          </w:r>
          <w:r w:rsidRPr="00D83747">
            <w:rPr>
              <w:rFonts w:ascii="Arial" w:hAnsi="Arial" w:cs="Arial"/>
            </w:rPr>
            <w:fldChar w:fldCharType="end"/>
          </w:r>
        </w:sdtContent>
      </w:sdt>
    </w:p>
    <w:p w14:paraId="619FE3E4" w14:textId="77777777" w:rsidR="00B37058" w:rsidRPr="00D83747" w:rsidRDefault="00B37058" w:rsidP="00D83747">
      <w:pPr>
        <w:spacing w:line="480" w:lineRule="auto"/>
        <w:jc w:val="both"/>
        <w:rPr>
          <w:rFonts w:ascii="Arial" w:hAnsi="Arial" w:cs="Arial"/>
        </w:rPr>
      </w:pPr>
      <w:r w:rsidRPr="00D83747">
        <w:rPr>
          <w:rFonts w:ascii="Arial" w:hAnsi="Arial" w:cs="Arial"/>
        </w:rPr>
        <w:t>La información recopilada a través de estos métodos permite:</w:t>
      </w:r>
    </w:p>
    <w:p w14:paraId="4DF68183" w14:textId="77777777" w:rsidR="00B37058" w:rsidRPr="00D83747" w:rsidRDefault="00B37058" w:rsidP="00D83747">
      <w:pPr>
        <w:pStyle w:val="Prrafodelista"/>
        <w:numPr>
          <w:ilvl w:val="0"/>
          <w:numId w:val="8"/>
        </w:numPr>
        <w:spacing w:after="200" w:line="480" w:lineRule="auto"/>
        <w:jc w:val="both"/>
        <w:rPr>
          <w:rFonts w:ascii="Arial" w:hAnsi="Arial" w:cs="Arial"/>
        </w:rPr>
      </w:pPr>
      <w:r w:rsidRPr="00D83747">
        <w:rPr>
          <w:rFonts w:ascii="Arial" w:hAnsi="Arial" w:cs="Arial"/>
        </w:rPr>
        <w:t>Reportar sobre los indicadores e</w:t>
      </w:r>
    </w:p>
    <w:p w14:paraId="6A4C7373" w14:textId="22479B64" w:rsidR="00B37058" w:rsidRPr="00D83747" w:rsidRDefault="00B37058" w:rsidP="00D83747">
      <w:pPr>
        <w:pStyle w:val="Prrafodelista"/>
        <w:numPr>
          <w:ilvl w:val="0"/>
          <w:numId w:val="8"/>
        </w:numPr>
        <w:spacing w:after="200" w:line="480" w:lineRule="auto"/>
        <w:jc w:val="both"/>
        <w:rPr>
          <w:rFonts w:ascii="Arial" w:hAnsi="Arial" w:cs="Arial"/>
        </w:rPr>
      </w:pPr>
      <w:r w:rsidRPr="00D83747">
        <w:rPr>
          <w:rFonts w:ascii="Arial" w:hAnsi="Arial" w:cs="Arial"/>
        </w:rPr>
        <w:t xml:space="preserve">Informar sobre la implementación de leyes y políticas públicas donde se quiere conocer porcentajes o información representativa para la totalidad de la población o </w:t>
      </w:r>
      <w:r w:rsidR="00206AFE">
        <w:rPr>
          <w:rFonts w:ascii="Arial" w:hAnsi="Arial" w:cs="Arial"/>
        </w:rPr>
        <w:t>una comunidad en general.</w:t>
      </w:r>
    </w:p>
    <w:p w14:paraId="7FF47CF2" w14:textId="409CB23B" w:rsidR="00FA1B08" w:rsidRPr="00D83747" w:rsidRDefault="00B37058" w:rsidP="00D83747">
      <w:pPr>
        <w:spacing w:line="480" w:lineRule="auto"/>
        <w:jc w:val="both"/>
        <w:rPr>
          <w:rFonts w:ascii="Arial" w:hAnsi="Arial" w:cs="Arial"/>
        </w:rPr>
      </w:pPr>
      <w:r w:rsidRPr="00D83747">
        <w:rPr>
          <w:rFonts w:ascii="Arial" w:hAnsi="Arial" w:cs="Arial"/>
        </w:rPr>
        <w:lastRenderedPageBreak/>
        <w:t xml:space="preserve">Los sujetos </w:t>
      </w:r>
      <w:r w:rsidR="003C4038" w:rsidRPr="00D83747">
        <w:rPr>
          <w:rFonts w:ascii="Arial" w:hAnsi="Arial" w:cs="Arial"/>
        </w:rPr>
        <w:t>de esta investigación son los 43</w:t>
      </w:r>
      <w:r w:rsidRPr="00D83747">
        <w:rPr>
          <w:rFonts w:ascii="Arial" w:hAnsi="Arial" w:cs="Arial"/>
        </w:rPr>
        <w:t xml:space="preserve"> directivos  de las escuelas seleccionadas.</w:t>
      </w:r>
      <w:r w:rsidR="003C4038" w:rsidRPr="00D83747">
        <w:rPr>
          <w:rFonts w:ascii="Arial" w:hAnsi="Arial" w:cs="Arial"/>
        </w:rPr>
        <w:t xml:space="preserve"> (23</w:t>
      </w:r>
      <w:r w:rsidRPr="00D83747">
        <w:rPr>
          <w:rFonts w:ascii="Arial" w:hAnsi="Arial" w:cs="Arial"/>
        </w:rPr>
        <w:t xml:space="preserve"> de alt</w:t>
      </w:r>
      <w:r w:rsidR="003C4038" w:rsidRPr="00D83747">
        <w:rPr>
          <w:rFonts w:ascii="Arial" w:hAnsi="Arial" w:cs="Arial"/>
        </w:rPr>
        <w:t xml:space="preserve">o y 20 de bajo) logro académico a quienes se les aplicó un  </w:t>
      </w:r>
      <w:r w:rsidR="003109EA" w:rsidRPr="00D83747">
        <w:rPr>
          <w:rFonts w:ascii="Arial" w:hAnsi="Arial" w:cs="Arial"/>
          <w:b/>
        </w:rPr>
        <w:t xml:space="preserve">Cuestionario, </w:t>
      </w:r>
      <w:r w:rsidR="003109EA" w:rsidRPr="00D83747">
        <w:rPr>
          <w:rFonts w:ascii="Arial" w:hAnsi="Arial" w:cs="Arial"/>
        </w:rPr>
        <w:t xml:space="preserve">que </w:t>
      </w:r>
      <w:r w:rsidR="003C4038" w:rsidRPr="00D83747">
        <w:rPr>
          <w:rFonts w:ascii="Arial" w:hAnsi="Arial" w:cs="Arial"/>
          <w:b/>
        </w:rPr>
        <w:t>“</w:t>
      </w:r>
      <w:r w:rsidRPr="00D83747">
        <w:rPr>
          <w:rFonts w:ascii="Arial" w:hAnsi="Arial" w:cs="Arial"/>
        </w:rPr>
        <w:t>consiste en un conjunto de preguntas respecto a una o más variables a medir. Básica</w:t>
      </w:r>
      <w:r w:rsidR="003C4038" w:rsidRPr="00D83747">
        <w:rPr>
          <w:rFonts w:ascii="Arial" w:hAnsi="Arial" w:cs="Arial"/>
        </w:rPr>
        <w:t>mente se consideran preguntas cerradas</w:t>
      </w:r>
      <w:r w:rsidRPr="00D83747">
        <w:rPr>
          <w:rFonts w:ascii="Arial" w:hAnsi="Arial" w:cs="Arial"/>
        </w:rPr>
        <w:t>. Las preguntas cerradas contienen categorías fijas de respuesta que han sido delimitadas. Se presentan a los sujetos las posibilidades de respuesta y aquellos deben cincuns</w:t>
      </w:r>
      <w:r w:rsidR="003C4038" w:rsidRPr="00D83747">
        <w:rPr>
          <w:rFonts w:ascii="Arial" w:hAnsi="Arial" w:cs="Arial"/>
        </w:rPr>
        <w:t>cribirse a é</w:t>
      </w:r>
      <w:r w:rsidRPr="00D83747">
        <w:rPr>
          <w:rFonts w:ascii="Arial" w:hAnsi="Arial" w:cs="Arial"/>
        </w:rPr>
        <w:t>stas. Pueden incluir solo dos posibilidades  (dicotómicas)</w:t>
      </w:r>
      <w:r w:rsidR="003C4038" w:rsidRPr="00D83747">
        <w:rPr>
          <w:rFonts w:ascii="Arial" w:hAnsi="Arial" w:cs="Arial"/>
        </w:rPr>
        <w:t xml:space="preserve"> </w:t>
      </w:r>
      <w:r w:rsidRPr="00D83747">
        <w:rPr>
          <w:rFonts w:ascii="Arial" w:hAnsi="Arial" w:cs="Arial"/>
        </w:rPr>
        <w:t>de respuesta. En las preguntas cerradas, las categorías de respuesta son definidas a priori por el investigador, de acuerdo al problema a investigar. A veces son excluyentes, es decir que solo puede optarse por una respuesta.</w:t>
      </w:r>
      <w:sdt>
        <w:sdtPr>
          <w:rPr>
            <w:rFonts w:ascii="Arial" w:hAnsi="Arial" w:cs="Arial"/>
          </w:rPr>
          <w:id w:val="61142252"/>
          <w:citation/>
        </w:sdtPr>
        <w:sdtEndPr/>
        <w:sdtContent>
          <w:r w:rsidRPr="00D83747">
            <w:rPr>
              <w:rFonts w:ascii="Arial" w:hAnsi="Arial" w:cs="Arial"/>
            </w:rPr>
            <w:fldChar w:fldCharType="begin"/>
          </w:r>
          <w:r w:rsidRPr="00D83747">
            <w:rPr>
              <w:rFonts w:ascii="Arial" w:hAnsi="Arial" w:cs="Arial"/>
            </w:rPr>
            <w:instrText xml:space="preserve"> CITATION Gom \l 2058  </w:instrText>
          </w:r>
          <w:r w:rsidRPr="00D83747">
            <w:rPr>
              <w:rFonts w:ascii="Arial" w:hAnsi="Arial" w:cs="Arial"/>
            </w:rPr>
            <w:fldChar w:fldCharType="separate"/>
          </w:r>
          <w:r w:rsidR="003109EA" w:rsidRPr="00D83747">
            <w:rPr>
              <w:rFonts w:ascii="Arial" w:hAnsi="Arial" w:cs="Arial"/>
              <w:noProof/>
            </w:rPr>
            <w:t xml:space="preserve"> (Gomez M, 2006)</w:t>
          </w:r>
          <w:r w:rsidRPr="00D83747">
            <w:rPr>
              <w:rFonts w:ascii="Arial" w:hAnsi="Arial" w:cs="Arial"/>
            </w:rPr>
            <w:fldChar w:fldCharType="end"/>
          </w:r>
        </w:sdtContent>
      </w:sdt>
      <w:r w:rsidR="003C4038" w:rsidRPr="00D83747">
        <w:rPr>
          <w:rFonts w:ascii="Arial" w:hAnsi="Arial" w:cs="Arial"/>
        </w:rPr>
        <w:t>. Además del cuestionario sobre la información de la escuela se aplicó una lista de cotejo para conocer la infraestructura de la misma.</w:t>
      </w:r>
    </w:p>
    <w:p w14:paraId="057E382E" w14:textId="77777777" w:rsidR="003C4038" w:rsidRPr="00D83747" w:rsidRDefault="003C4038" w:rsidP="00D83747">
      <w:pPr>
        <w:spacing w:line="480" w:lineRule="auto"/>
        <w:jc w:val="both"/>
        <w:rPr>
          <w:rFonts w:ascii="Arial" w:hAnsi="Arial" w:cs="Arial"/>
        </w:rPr>
      </w:pPr>
    </w:p>
    <w:p w14:paraId="27974D15" w14:textId="535107DE" w:rsidR="003C4038" w:rsidRPr="00D83747" w:rsidRDefault="002365F2" w:rsidP="00D83747">
      <w:pPr>
        <w:spacing w:line="480" w:lineRule="auto"/>
        <w:jc w:val="both"/>
        <w:rPr>
          <w:rFonts w:ascii="Arial" w:hAnsi="Arial" w:cs="Arial"/>
          <w:b/>
        </w:rPr>
      </w:pPr>
      <w:r w:rsidRPr="00D83747">
        <w:rPr>
          <w:rFonts w:ascii="Arial" w:hAnsi="Arial" w:cs="Arial"/>
          <w:b/>
        </w:rPr>
        <w:t>Características</w:t>
      </w:r>
      <w:r w:rsidR="003C4038" w:rsidRPr="00D83747">
        <w:rPr>
          <w:rFonts w:ascii="Arial" w:hAnsi="Arial" w:cs="Arial"/>
          <w:b/>
        </w:rPr>
        <w:t xml:space="preserve"> de las escuelas</w:t>
      </w:r>
    </w:p>
    <w:p w14:paraId="7C9F9938" w14:textId="5D91BD4C" w:rsidR="00206AFE" w:rsidRDefault="00020BDE" w:rsidP="00D83747">
      <w:pPr>
        <w:spacing w:line="480" w:lineRule="auto"/>
        <w:jc w:val="both"/>
        <w:rPr>
          <w:rFonts w:ascii="Arial" w:hAnsi="Arial" w:cs="Arial"/>
        </w:rPr>
      </w:pPr>
      <w:r w:rsidRPr="00D83747">
        <w:rPr>
          <w:rFonts w:ascii="Arial" w:eastAsia="Times New Roman" w:hAnsi="Arial" w:cs="Arial"/>
          <w:color w:val="000000"/>
          <w:lang w:eastAsia="es-MX"/>
        </w:rPr>
        <w:t>Para este estudio se seleccionaron 43 escuel</w:t>
      </w:r>
      <w:r w:rsidRPr="00D83747">
        <w:rPr>
          <w:rFonts w:ascii="Arial" w:eastAsia="Times New Roman" w:hAnsi="Arial" w:cs="Arial"/>
          <w:color w:val="000000"/>
          <w:lang w:eastAsia="es-MX"/>
        </w:rPr>
        <w:t xml:space="preserve">as de las modalidades general, técnica, telesecundaria, para trabajadores y particular. </w:t>
      </w:r>
      <w:r w:rsidRPr="00D83747">
        <w:rPr>
          <w:rFonts w:ascii="Arial" w:eastAsia="Times New Roman" w:hAnsi="Arial" w:cs="Arial"/>
          <w:color w:val="000000"/>
          <w:lang w:eastAsia="es-MX"/>
        </w:rPr>
        <w:t xml:space="preserve"> Del total de las escuelas seleccionadas, 23 cuentan con alto nivel de logro y 20 con bajo logro. Para encontrar patrones recurrentes en unas y otras escuelas se presentan los datos  de 39  secundarias</w:t>
      </w:r>
      <w:r w:rsidR="00206AFE">
        <w:rPr>
          <w:rFonts w:ascii="Arial" w:eastAsia="Times New Roman" w:hAnsi="Arial" w:cs="Arial"/>
          <w:color w:val="000000"/>
          <w:lang w:eastAsia="es-MX"/>
        </w:rPr>
        <w:t xml:space="preserve"> públicas</w:t>
      </w:r>
      <w:r w:rsidRPr="00D83747">
        <w:rPr>
          <w:rFonts w:ascii="Arial" w:eastAsia="Times New Roman" w:hAnsi="Arial" w:cs="Arial"/>
          <w:color w:val="000000"/>
          <w:lang w:eastAsia="es-MX"/>
        </w:rPr>
        <w:t xml:space="preserve"> y 4 particulares de alto nivel -3 del  DF y una de  Sonora (Ver Tabla 1, Gráfica 1)-. En la descripción de sus características se separan,  las secundarias </w:t>
      </w:r>
      <w:r w:rsidR="00206AFE">
        <w:rPr>
          <w:rFonts w:ascii="Arial" w:eastAsia="Times New Roman" w:hAnsi="Arial" w:cs="Arial"/>
          <w:color w:val="000000"/>
          <w:lang w:eastAsia="es-MX"/>
        </w:rPr>
        <w:t xml:space="preserve">públicas </w:t>
      </w:r>
      <w:r w:rsidRPr="00D83747">
        <w:rPr>
          <w:rFonts w:ascii="Arial" w:eastAsia="Times New Roman" w:hAnsi="Arial" w:cs="Arial"/>
          <w:color w:val="000000"/>
          <w:lang w:eastAsia="es-MX"/>
        </w:rPr>
        <w:t xml:space="preserve">de las particulares  a fin de presentar las diferencias y similitudes en relación con el nivel de logro.  </w:t>
      </w:r>
    </w:p>
    <w:p w14:paraId="623ABDBB" w14:textId="11C602EA" w:rsidR="00020BDE" w:rsidRDefault="00FD05C4" w:rsidP="00D83747">
      <w:pPr>
        <w:spacing w:line="480" w:lineRule="auto"/>
        <w:jc w:val="both"/>
        <w:rPr>
          <w:rFonts w:ascii="Arial" w:hAnsi="Arial" w:cs="Arial"/>
        </w:rPr>
      </w:pPr>
      <w:r w:rsidRPr="00D83747">
        <w:rPr>
          <w:rFonts w:ascii="Arial" w:hAnsi="Arial" w:cs="Arial"/>
        </w:rPr>
        <w:t>Como se observa en la gráfica 1</w:t>
      </w:r>
      <w:r w:rsidR="00020BDE" w:rsidRPr="00D83747">
        <w:rPr>
          <w:rFonts w:ascii="Arial" w:hAnsi="Arial" w:cs="Arial"/>
        </w:rPr>
        <w:t>,  la mayoría de las escuelas son generales (39.5%), le siguen las ubicadas en la modalidad Técnica con el 30.2%; el 14% son telesecundarias y en menor medida las particulares y para trabajadores.</w:t>
      </w:r>
    </w:p>
    <w:p w14:paraId="746A915D" w14:textId="77777777" w:rsidR="00206AFE" w:rsidRPr="00D83747" w:rsidRDefault="00206AFE" w:rsidP="00D83747">
      <w:pPr>
        <w:spacing w:line="480" w:lineRule="auto"/>
        <w:jc w:val="both"/>
        <w:rPr>
          <w:rFonts w:ascii="Arial" w:hAnsi="Arial" w:cs="Arial"/>
        </w:rPr>
      </w:pPr>
    </w:p>
    <w:p w14:paraId="028D9E0E" w14:textId="3D4388D7" w:rsidR="00020BDE" w:rsidRPr="00D83747" w:rsidRDefault="00FD05C4" w:rsidP="00D83747">
      <w:pPr>
        <w:spacing w:line="480" w:lineRule="auto"/>
        <w:jc w:val="center"/>
        <w:rPr>
          <w:rFonts w:ascii="Arial" w:hAnsi="Arial" w:cs="Arial"/>
          <w:b/>
          <w:sz w:val="20"/>
          <w:szCs w:val="20"/>
        </w:rPr>
      </w:pPr>
      <w:r w:rsidRPr="00D83747">
        <w:rPr>
          <w:rFonts w:ascii="Arial" w:hAnsi="Arial" w:cs="Arial"/>
          <w:b/>
          <w:sz w:val="20"/>
          <w:szCs w:val="20"/>
        </w:rPr>
        <w:t>Gráfica 1</w:t>
      </w:r>
      <w:r w:rsidR="00020BDE" w:rsidRPr="00D83747">
        <w:rPr>
          <w:rFonts w:ascii="Arial" w:hAnsi="Arial" w:cs="Arial"/>
          <w:b/>
          <w:sz w:val="20"/>
          <w:szCs w:val="20"/>
        </w:rPr>
        <w:t>. Porcentaje de escuelas por modalidad</w:t>
      </w:r>
    </w:p>
    <w:p w14:paraId="0DF540E0" w14:textId="77777777" w:rsidR="00020BDE" w:rsidRPr="00D83747" w:rsidRDefault="00020BDE" w:rsidP="00D83747">
      <w:pPr>
        <w:spacing w:line="480" w:lineRule="auto"/>
        <w:rPr>
          <w:rFonts w:ascii="Arial" w:hAnsi="Arial" w:cs="Arial"/>
        </w:rPr>
      </w:pPr>
      <w:r w:rsidRPr="00D83747">
        <w:rPr>
          <w:rFonts w:ascii="Arial" w:eastAsia="Times New Roman" w:hAnsi="Arial" w:cs="Arial"/>
          <w:noProof/>
          <w:color w:val="000000"/>
          <w:lang w:eastAsia="es-MX"/>
        </w:rPr>
        <w:lastRenderedPageBreak/>
        <w:drawing>
          <wp:inline distT="0" distB="0" distL="0" distR="0" wp14:anchorId="0E079C18" wp14:editId="54FC03CF">
            <wp:extent cx="4421427" cy="2323578"/>
            <wp:effectExtent l="19050" t="0" r="17223" b="522"/>
            <wp:docPr id="85"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B5B6270" w14:textId="32B47462" w:rsidR="00020BDE" w:rsidRPr="00D83747" w:rsidRDefault="00FD05C4" w:rsidP="00D83747">
      <w:pPr>
        <w:autoSpaceDE w:val="0"/>
        <w:autoSpaceDN w:val="0"/>
        <w:adjustRightInd w:val="0"/>
        <w:spacing w:after="0" w:line="480" w:lineRule="auto"/>
        <w:rPr>
          <w:rFonts w:ascii="Arial" w:hAnsi="Arial" w:cs="Arial"/>
        </w:rPr>
      </w:pPr>
      <w:r w:rsidRPr="00D83747">
        <w:rPr>
          <w:rFonts w:ascii="Arial" w:hAnsi="Arial" w:cs="Arial"/>
        </w:rPr>
        <w:t>En la gr</w:t>
      </w:r>
      <w:r w:rsidRPr="00D83747">
        <w:rPr>
          <w:rFonts w:ascii="Arial" w:hAnsi="Arial" w:cs="Arial"/>
        </w:rPr>
        <w:t>áfica 2</w:t>
      </w:r>
      <w:r w:rsidRPr="00D83747">
        <w:rPr>
          <w:rFonts w:ascii="Arial" w:hAnsi="Arial" w:cs="Arial"/>
        </w:rPr>
        <w:t xml:space="preserve"> se muestra que en la CDMX</w:t>
      </w:r>
      <w:r w:rsidRPr="00D83747">
        <w:rPr>
          <w:rFonts w:ascii="Arial" w:hAnsi="Arial" w:cs="Arial"/>
        </w:rPr>
        <w:t xml:space="preserve"> </w:t>
      </w:r>
      <w:r w:rsidRPr="00D83747">
        <w:rPr>
          <w:rFonts w:ascii="Arial" w:hAnsi="Arial" w:cs="Arial"/>
        </w:rPr>
        <w:t xml:space="preserve"> sobresale el 70% de escuelas de alto nivel de logro ello en virtud de que  se incluyeron tres escuelas particulares más.</w:t>
      </w:r>
    </w:p>
    <w:p w14:paraId="66A7A3B7" w14:textId="4FE1A400" w:rsidR="002365F2" w:rsidRPr="00D83747" w:rsidRDefault="005D1AA5" w:rsidP="00D83747">
      <w:pPr>
        <w:spacing w:line="480" w:lineRule="auto"/>
        <w:jc w:val="both"/>
        <w:rPr>
          <w:rFonts w:ascii="Arial" w:hAnsi="Arial" w:cs="Arial"/>
        </w:rPr>
      </w:pPr>
      <w:r w:rsidRPr="00D83747">
        <w:rPr>
          <w:rFonts w:ascii="Arial" w:hAnsi="Arial" w:cs="Arial"/>
        </w:rPr>
        <w:t xml:space="preserve">Los datos muestran que existen pocas diferencias entre las escuelas secundarias seleccionadas para este estudio, es decir tanto las de AL como de BL </w:t>
      </w:r>
      <w:r w:rsidR="00F57567" w:rsidRPr="00D83747">
        <w:rPr>
          <w:rFonts w:ascii="Arial" w:hAnsi="Arial" w:cs="Arial"/>
        </w:rPr>
        <w:t xml:space="preserve"> con  infraestructura que </w:t>
      </w:r>
      <w:r w:rsidR="0095482A" w:rsidRPr="00D83747">
        <w:rPr>
          <w:rFonts w:ascii="Arial" w:hAnsi="Arial" w:cs="Arial"/>
        </w:rPr>
        <w:t xml:space="preserve"> incluye  (Sala de maestros, sala de reunión para el consejo académico, rampas para discapacitados, pizarrones suficientes, aulas  y bancas suficientes</w:t>
      </w:r>
      <w:r w:rsidRPr="00D83747">
        <w:rPr>
          <w:rFonts w:ascii="Arial" w:hAnsi="Arial" w:cs="Arial"/>
        </w:rPr>
        <w:t xml:space="preserve"> para la demanda; así como servicios (comedor, cafetería, acceso a internet, televisión, conserje); instalaciones (biblioteca, auditorios, etc.</w:t>
      </w:r>
      <w:r w:rsidR="0095482A" w:rsidRPr="00D83747">
        <w:rPr>
          <w:rFonts w:ascii="Arial" w:hAnsi="Arial" w:cs="Arial"/>
        </w:rPr>
        <w:t>)</w:t>
      </w:r>
      <w:r w:rsidR="00FD05C4" w:rsidRPr="00D83747">
        <w:rPr>
          <w:rFonts w:ascii="Arial" w:hAnsi="Arial" w:cs="Arial"/>
        </w:rPr>
        <w:t xml:space="preserve"> Ver gráficas </w:t>
      </w:r>
      <w:r w:rsidR="00145393" w:rsidRPr="00D83747">
        <w:rPr>
          <w:rFonts w:ascii="Arial" w:hAnsi="Arial" w:cs="Arial"/>
        </w:rPr>
        <w:t xml:space="preserve"> 2 y 3.</w:t>
      </w:r>
    </w:p>
    <w:p w14:paraId="616A57D5" w14:textId="73B57179" w:rsidR="00FA1B08" w:rsidRPr="00D83747" w:rsidRDefault="00FA1B08" w:rsidP="00D83747">
      <w:pPr>
        <w:spacing w:line="480" w:lineRule="auto"/>
        <w:rPr>
          <w:rFonts w:ascii="Arial" w:hAnsi="Arial" w:cs="Arial"/>
        </w:rPr>
      </w:pPr>
    </w:p>
    <w:p w14:paraId="49043B51" w14:textId="2177BFEE" w:rsidR="00F04B67" w:rsidRPr="00D83747" w:rsidRDefault="00F04B67" w:rsidP="00D83747">
      <w:pPr>
        <w:spacing w:line="480" w:lineRule="auto"/>
        <w:rPr>
          <w:rFonts w:ascii="Arial" w:hAnsi="Arial" w:cs="Arial"/>
        </w:rPr>
      </w:pPr>
      <w:r w:rsidRPr="00D83747">
        <w:rPr>
          <w:rFonts w:ascii="Arial" w:hAnsi="Arial" w:cs="Arial"/>
          <w:noProof/>
          <w:lang w:eastAsia="es-MX"/>
        </w:rPr>
        <w:drawing>
          <wp:inline distT="0" distB="0" distL="0" distR="0" wp14:anchorId="0A0ACB95" wp14:editId="1E5D6A05">
            <wp:extent cx="3920490" cy="1834515"/>
            <wp:effectExtent l="0" t="0" r="3810" b="1333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4063D58" w14:textId="05201B1A" w:rsidR="00067621" w:rsidRPr="00D83747" w:rsidRDefault="0095482A" w:rsidP="00D83747">
      <w:pPr>
        <w:spacing w:line="480" w:lineRule="auto"/>
        <w:rPr>
          <w:rFonts w:ascii="Arial" w:hAnsi="Arial" w:cs="Arial"/>
        </w:rPr>
      </w:pPr>
      <w:r w:rsidRPr="00D83747">
        <w:rPr>
          <w:rFonts w:ascii="Arial" w:hAnsi="Arial" w:cs="Arial"/>
          <w:noProof/>
          <w:lang w:eastAsia="es-MX"/>
        </w:rPr>
        <w:lastRenderedPageBreak/>
        <w:drawing>
          <wp:anchor distT="0" distB="0" distL="114300" distR="114300" simplePos="0" relativeHeight="251660288" behindDoc="0" locked="0" layoutInCell="1" allowOverlap="1" wp14:anchorId="67749ED6" wp14:editId="00B90961">
            <wp:simplePos x="1080135" y="4572000"/>
            <wp:positionH relativeFrom="column">
              <wp:align>left</wp:align>
            </wp:positionH>
            <wp:positionV relativeFrom="paragraph">
              <wp:align>top</wp:align>
            </wp:positionV>
            <wp:extent cx="4105275" cy="2063115"/>
            <wp:effectExtent l="0" t="0" r="9525" b="13335"/>
            <wp:wrapSquare wrapText="bothSides"/>
            <wp:docPr id="96" name="Gráfico 9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5D1AA5" w:rsidRPr="00D83747">
        <w:rPr>
          <w:rFonts w:ascii="Arial" w:hAnsi="Arial" w:cs="Arial"/>
        </w:rPr>
        <w:br w:type="textWrapping" w:clear="all"/>
      </w:r>
    </w:p>
    <w:p w14:paraId="0F7A0964" w14:textId="18609AA2" w:rsidR="00F57567" w:rsidRPr="00D83747" w:rsidRDefault="00206AFE" w:rsidP="00D83747">
      <w:pPr>
        <w:spacing w:line="480" w:lineRule="auto"/>
        <w:rPr>
          <w:rFonts w:ascii="Arial" w:hAnsi="Arial" w:cs="Arial"/>
          <w:b/>
        </w:rPr>
      </w:pPr>
      <w:r>
        <w:rPr>
          <w:rFonts w:ascii="Arial" w:hAnsi="Arial" w:cs="Arial"/>
          <w:b/>
        </w:rPr>
        <w:t>Escuelas de AL públicas</w:t>
      </w:r>
      <w:r w:rsidR="00F57567" w:rsidRPr="00D83747">
        <w:rPr>
          <w:rFonts w:ascii="Arial" w:hAnsi="Arial" w:cs="Arial"/>
          <w:b/>
        </w:rPr>
        <w:t xml:space="preserve"> y particulares de la Ciudad de México</w:t>
      </w:r>
    </w:p>
    <w:p w14:paraId="6096DD30" w14:textId="10D3B6B3" w:rsidR="00F57567" w:rsidRPr="00D83747" w:rsidRDefault="00F57567" w:rsidP="00D83747">
      <w:pPr>
        <w:spacing w:line="480" w:lineRule="auto"/>
        <w:rPr>
          <w:rFonts w:ascii="Arial" w:hAnsi="Arial" w:cs="Arial"/>
        </w:rPr>
      </w:pPr>
      <w:r w:rsidRPr="00D83747">
        <w:rPr>
          <w:rFonts w:ascii="Arial" w:hAnsi="Arial" w:cs="Arial"/>
        </w:rPr>
        <w:t xml:space="preserve">Es interesante observar que en la comparación entre escuelas de altos niveles de </w:t>
      </w:r>
      <w:r w:rsidR="00206AFE">
        <w:rPr>
          <w:rFonts w:ascii="Arial" w:hAnsi="Arial" w:cs="Arial"/>
        </w:rPr>
        <w:t>logro educativo particulares y publicas</w:t>
      </w:r>
      <w:r w:rsidRPr="00D83747">
        <w:rPr>
          <w:rFonts w:ascii="Arial" w:hAnsi="Arial" w:cs="Arial"/>
        </w:rPr>
        <w:t xml:space="preserve">  existen diferencias  en la infraestructura</w:t>
      </w:r>
      <w:r w:rsidR="009D6501" w:rsidRPr="00D83747">
        <w:rPr>
          <w:rFonts w:ascii="Arial" w:hAnsi="Arial" w:cs="Arial"/>
        </w:rPr>
        <w:t xml:space="preserve">, las </w:t>
      </w:r>
      <w:r w:rsidR="00206AFE">
        <w:rPr>
          <w:rFonts w:ascii="Arial" w:hAnsi="Arial" w:cs="Arial"/>
        </w:rPr>
        <w:t xml:space="preserve">públicas </w:t>
      </w:r>
      <w:r w:rsidR="009D6501" w:rsidRPr="00D83747">
        <w:rPr>
          <w:rFonts w:ascii="Arial" w:hAnsi="Arial" w:cs="Arial"/>
        </w:rPr>
        <w:t xml:space="preserve">presentan una gran demanda y por tanto carecen de suficientes   aulas y  bancas para su atención, </w:t>
      </w:r>
      <w:r w:rsidRPr="00D83747">
        <w:rPr>
          <w:rFonts w:ascii="Arial" w:hAnsi="Arial" w:cs="Arial"/>
        </w:rPr>
        <w:t xml:space="preserve"> así se muestra en la gráfica 5.</w:t>
      </w:r>
    </w:p>
    <w:p w14:paraId="05710A2F" w14:textId="5686E131" w:rsidR="003C4038" w:rsidRPr="00D83747" w:rsidRDefault="00067621" w:rsidP="00D83747">
      <w:pPr>
        <w:spacing w:line="480" w:lineRule="auto"/>
        <w:rPr>
          <w:rFonts w:ascii="Arial" w:hAnsi="Arial" w:cs="Arial"/>
          <w:noProof/>
          <w:lang w:eastAsia="es-MX"/>
        </w:rPr>
      </w:pPr>
      <w:r w:rsidRPr="00D83747">
        <w:rPr>
          <w:rFonts w:ascii="Arial" w:hAnsi="Arial" w:cs="Arial"/>
          <w:noProof/>
          <w:lang w:eastAsia="es-MX"/>
        </w:rPr>
        <w:drawing>
          <wp:inline distT="0" distB="0" distL="0" distR="0" wp14:anchorId="66AC4B94" wp14:editId="15E5FB8E">
            <wp:extent cx="4457700" cy="2124635"/>
            <wp:effectExtent l="0" t="0" r="0"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B2BF519" w14:textId="0D171AB3" w:rsidR="009D6501" w:rsidRPr="00D83747" w:rsidRDefault="009D6501" w:rsidP="00D83747">
      <w:pPr>
        <w:spacing w:line="480" w:lineRule="auto"/>
        <w:rPr>
          <w:rFonts w:ascii="Arial" w:hAnsi="Arial" w:cs="Arial"/>
          <w:noProof/>
          <w:lang w:eastAsia="es-MX"/>
        </w:rPr>
      </w:pPr>
      <w:r w:rsidRPr="00D83747">
        <w:rPr>
          <w:rFonts w:ascii="Arial" w:hAnsi="Arial" w:cs="Arial"/>
          <w:noProof/>
          <w:lang w:eastAsia="es-MX"/>
        </w:rPr>
        <w:t>También se presentan diferencias en las instalaciones, mientras que la mayoría de las particulares  carece de auditori</w:t>
      </w:r>
      <w:r w:rsidR="00206AFE">
        <w:rPr>
          <w:rFonts w:ascii="Arial" w:hAnsi="Arial" w:cs="Arial"/>
          <w:noProof/>
          <w:lang w:eastAsia="es-MX"/>
        </w:rPr>
        <w:t>o y cooperativa; pocas públicas</w:t>
      </w:r>
      <w:r w:rsidRPr="00D83747">
        <w:rPr>
          <w:rFonts w:ascii="Arial" w:hAnsi="Arial" w:cs="Arial"/>
          <w:noProof/>
          <w:lang w:eastAsia="es-MX"/>
        </w:rPr>
        <w:t xml:space="preserve"> no poseen canchas de futbol y más de la mitad de ambos tipos de escuelas tienen canchas de basquetball y voleibol.</w:t>
      </w:r>
    </w:p>
    <w:p w14:paraId="2CCD3CC6" w14:textId="77777777" w:rsidR="00067621" w:rsidRPr="00D83747" w:rsidRDefault="00067621" w:rsidP="00D83747">
      <w:pPr>
        <w:spacing w:line="480" w:lineRule="auto"/>
        <w:rPr>
          <w:rFonts w:ascii="Arial" w:hAnsi="Arial" w:cs="Arial"/>
          <w:noProof/>
          <w:lang w:eastAsia="es-MX"/>
        </w:rPr>
      </w:pPr>
    </w:p>
    <w:p w14:paraId="58A14C13" w14:textId="0E46173B" w:rsidR="00067621" w:rsidRPr="00D83747" w:rsidRDefault="00067621" w:rsidP="00D83747">
      <w:pPr>
        <w:spacing w:line="480" w:lineRule="auto"/>
        <w:rPr>
          <w:rFonts w:ascii="Arial" w:hAnsi="Arial" w:cs="Arial"/>
          <w:noProof/>
          <w:lang w:eastAsia="es-MX"/>
        </w:rPr>
      </w:pPr>
      <w:r w:rsidRPr="00D83747">
        <w:rPr>
          <w:rFonts w:ascii="Arial" w:hAnsi="Arial" w:cs="Arial"/>
          <w:noProof/>
          <w:lang w:eastAsia="es-MX"/>
        </w:rPr>
        <w:lastRenderedPageBreak/>
        <w:drawing>
          <wp:inline distT="0" distB="0" distL="0" distR="0" wp14:anchorId="31F5E456" wp14:editId="51224255">
            <wp:extent cx="6012180" cy="2043953"/>
            <wp:effectExtent l="0" t="0" r="7620" b="1397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DE23518" w14:textId="11CD8F1D" w:rsidR="00067621" w:rsidRPr="00D83747" w:rsidRDefault="009D6501" w:rsidP="00D83747">
      <w:pPr>
        <w:spacing w:line="480" w:lineRule="auto"/>
        <w:rPr>
          <w:rFonts w:ascii="Arial" w:hAnsi="Arial" w:cs="Arial"/>
          <w:noProof/>
          <w:lang w:eastAsia="es-MX"/>
        </w:rPr>
      </w:pPr>
      <w:r w:rsidRPr="00D83747">
        <w:rPr>
          <w:rFonts w:ascii="Arial" w:hAnsi="Arial" w:cs="Arial"/>
          <w:noProof/>
          <w:lang w:eastAsia="es-MX"/>
        </w:rPr>
        <w:t>Los  servicios tanto de escu</w:t>
      </w:r>
      <w:r w:rsidR="00206AFE">
        <w:rPr>
          <w:rFonts w:ascii="Arial" w:hAnsi="Arial" w:cs="Arial"/>
          <w:noProof/>
          <w:lang w:eastAsia="es-MX"/>
        </w:rPr>
        <w:t>elas particulares como públicas</w:t>
      </w:r>
      <w:r w:rsidRPr="00D83747">
        <w:rPr>
          <w:rFonts w:ascii="Arial" w:hAnsi="Arial" w:cs="Arial"/>
          <w:noProof/>
          <w:lang w:eastAsia="es-MX"/>
        </w:rPr>
        <w:t xml:space="preserve"> son muy simi</w:t>
      </w:r>
      <w:r w:rsidR="00182B76" w:rsidRPr="00D83747">
        <w:rPr>
          <w:rFonts w:ascii="Arial" w:hAnsi="Arial" w:cs="Arial"/>
          <w:noProof/>
          <w:lang w:eastAsia="es-MX"/>
        </w:rPr>
        <w:t xml:space="preserve">lares, asì se aprecia los datos: sólo dos particulares cuentan con comedor y cafetería mientras que sòlo una tiene ese servicio. </w:t>
      </w:r>
    </w:p>
    <w:p w14:paraId="5CA055FC" w14:textId="7C3DD5AD" w:rsidR="003C4038" w:rsidRPr="00D83747" w:rsidRDefault="00F04B67" w:rsidP="00D83747">
      <w:pPr>
        <w:spacing w:line="480" w:lineRule="auto"/>
        <w:rPr>
          <w:rFonts w:ascii="Arial" w:hAnsi="Arial" w:cs="Arial"/>
          <w:noProof/>
          <w:lang w:eastAsia="es-MX"/>
        </w:rPr>
      </w:pPr>
      <w:r w:rsidRPr="00D83747">
        <w:rPr>
          <w:rFonts w:ascii="Arial" w:hAnsi="Arial" w:cs="Arial"/>
          <w:noProof/>
          <w:lang w:eastAsia="es-MX"/>
        </w:rPr>
        <w:drawing>
          <wp:anchor distT="0" distB="0" distL="114300" distR="114300" simplePos="0" relativeHeight="251661312" behindDoc="0" locked="0" layoutInCell="1" allowOverlap="1" wp14:anchorId="2A1C9C8C" wp14:editId="3EE8D964">
            <wp:simplePos x="0" y="0"/>
            <wp:positionH relativeFrom="column">
              <wp:posOffset>-51435</wp:posOffset>
            </wp:positionH>
            <wp:positionV relativeFrom="paragraph">
              <wp:posOffset>249555</wp:posOffset>
            </wp:positionV>
            <wp:extent cx="5332095" cy="1686560"/>
            <wp:effectExtent l="0" t="0" r="1905" b="8890"/>
            <wp:wrapSquare wrapText="bothSides"/>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182B76" w:rsidRPr="00D83747">
        <w:rPr>
          <w:rFonts w:ascii="Arial" w:hAnsi="Arial" w:cs="Arial"/>
          <w:noProof/>
          <w:lang w:eastAsia="es-MX"/>
        </w:rPr>
        <w:br w:type="textWrapping" w:clear="all"/>
      </w:r>
    </w:p>
    <w:p w14:paraId="26128097" w14:textId="2DE9A83B" w:rsidR="00145393" w:rsidRPr="00D83747" w:rsidRDefault="00145393" w:rsidP="00D83747">
      <w:pPr>
        <w:spacing w:line="480" w:lineRule="auto"/>
        <w:rPr>
          <w:rFonts w:ascii="Arial" w:hAnsi="Arial" w:cs="Arial"/>
          <w:b/>
        </w:rPr>
      </w:pPr>
      <w:r w:rsidRPr="00D83747">
        <w:rPr>
          <w:rFonts w:ascii="Arial" w:hAnsi="Arial" w:cs="Arial"/>
          <w:b/>
        </w:rPr>
        <w:t xml:space="preserve">Clima escolar: Una diferencia significativa  </w:t>
      </w:r>
    </w:p>
    <w:p w14:paraId="012656EE" w14:textId="3CD745D6" w:rsidR="00145393" w:rsidRPr="00D83747" w:rsidRDefault="00145393" w:rsidP="00206AFE">
      <w:pPr>
        <w:spacing w:line="480" w:lineRule="auto"/>
        <w:jc w:val="both"/>
        <w:rPr>
          <w:rFonts w:ascii="Arial" w:hAnsi="Arial" w:cs="Arial"/>
        </w:rPr>
      </w:pPr>
      <w:r w:rsidRPr="00D83747">
        <w:rPr>
          <w:rFonts w:ascii="Arial" w:hAnsi="Arial" w:cs="Arial"/>
        </w:rPr>
        <w:t>Los resultados que emergen de la aplicación del cuestionario sobre la información de la escuela ratifican los arrojados por estudios realizados en las escuelas eficaces. Es la organización, la participación de padres de familia, apoyo mutuo entre profesores, elementos del clima escolar lo que hacen diferencias significativas entre escuelas de AL y BL, la entidad y el sector al que pertenezcan (público o privado)</w:t>
      </w:r>
    </w:p>
    <w:p w14:paraId="4A5838C7" w14:textId="0A255247" w:rsidR="003C4038" w:rsidRPr="00D83747" w:rsidRDefault="00145393" w:rsidP="00D83747">
      <w:pPr>
        <w:spacing w:line="480" w:lineRule="auto"/>
        <w:rPr>
          <w:rFonts w:ascii="Arial" w:hAnsi="Arial" w:cs="Arial"/>
        </w:rPr>
      </w:pPr>
      <w:r w:rsidRPr="00D83747">
        <w:rPr>
          <w:rFonts w:ascii="Arial" w:hAnsi="Arial" w:cs="Arial"/>
          <w:b/>
          <w:noProof/>
          <w:lang w:eastAsia="es-MX"/>
        </w:rPr>
        <w:lastRenderedPageBreak/>
        <w:drawing>
          <wp:inline distT="0" distB="0" distL="0" distR="0" wp14:anchorId="54D22C35" wp14:editId="682E950F">
            <wp:extent cx="5674659" cy="3153336"/>
            <wp:effectExtent l="0" t="0" r="2540" b="952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586F79F" w14:textId="77777777" w:rsidR="003C4038" w:rsidRPr="00D83747" w:rsidRDefault="003C4038" w:rsidP="00D83747">
      <w:pPr>
        <w:spacing w:line="480" w:lineRule="auto"/>
        <w:rPr>
          <w:rFonts w:ascii="Arial" w:hAnsi="Arial" w:cs="Arial"/>
        </w:rPr>
      </w:pPr>
    </w:p>
    <w:p w14:paraId="15D653A0" w14:textId="3A5FD8A7" w:rsidR="003C4038" w:rsidRPr="00206AFE" w:rsidRDefault="00415128" w:rsidP="00D83747">
      <w:pPr>
        <w:spacing w:line="480" w:lineRule="auto"/>
        <w:rPr>
          <w:rFonts w:ascii="Arial" w:hAnsi="Arial" w:cs="Arial"/>
          <w:b/>
        </w:rPr>
      </w:pPr>
      <w:r w:rsidRPr="00206AFE">
        <w:rPr>
          <w:rFonts w:ascii="Arial" w:hAnsi="Arial" w:cs="Arial"/>
          <w:b/>
        </w:rPr>
        <w:t>Algunas conclusiones:</w:t>
      </w:r>
    </w:p>
    <w:p w14:paraId="00E3B5EA" w14:textId="77777777" w:rsidR="00415128" w:rsidRPr="00206AFE" w:rsidRDefault="00415128" w:rsidP="00206AFE">
      <w:pPr>
        <w:spacing w:line="480" w:lineRule="auto"/>
        <w:jc w:val="both"/>
        <w:rPr>
          <w:rFonts w:ascii="Arial" w:hAnsi="Arial" w:cs="Arial"/>
        </w:rPr>
      </w:pPr>
      <w:r w:rsidRPr="00206AFE">
        <w:rPr>
          <w:rFonts w:ascii="Arial" w:hAnsi="Arial" w:cs="Arial"/>
        </w:rPr>
        <w:t xml:space="preserve">Los datos que emergen de esta investigación permiten afirmar que la infraestructura, servicios e instalaciones influyen poco en el logro educativo en alto y bajo.  En el contraste entre  las escuelas de altos niveles  particulares y públicas se observa que tienen con similares condiciones físicas y materiales. </w:t>
      </w:r>
    </w:p>
    <w:p w14:paraId="510EA86A" w14:textId="54D2F365" w:rsidR="00415128" w:rsidRPr="00D83747" w:rsidRDefault="00415128" w:rsidP="00206AFE">
      <w:pPr>
        <w:spacing w:line="480" w:lineRule="auto"/>
        <w:jc w:val="both"/>
        <w:rPr>
          <w:rFonts w:ascii="Arial" w:hAnsi="Arial" w:cs="Arial"/>
          <w:b/>
        </w:rPr>
      </w:pPr>
      <w:r w:rsidRPr="00206AFE">
        <w:rPr>
          <w:rFonts w:ascii="Arial" w:hAnsi="Arial" w:cs="Arial"/>
        </w:rPr>
        <w:t>Por otra parte, se rei</w:t>
      </w:r>
      <w:r w:rsidR="00D83747" w:rsidRPr="00206AFE">
        <w:rPr>
          <w:rFonts w:ascii="Arial" w:hAnsi="Arial" w:cs="Arial"/>
        </w:rPr>
        <w:t>tera que las diferencias se ubican en la cultura escolar y  en el involucramiento, apoyo mutuo, participación de las personas adscritas a las escuelas.</w:t>
      </w:r>
      <w:r w:rsidRPr="00D83747">
        <w:rPr>
          <w:rFonts w:ascii="Arial" w:hAnsi="Arial" w:cs="Arial"/>
          <w:b/>
        </w:rPr>
        <w:br/>
      </w:r>
    </w:p>
    <w:p w14:paraId="2898587E" w14:textId="77777777" w:rsidR="00415128" w:rsidRPr="00D83747" w:rsidRDefault="00415128" w:rsidP="00D83747">
      <w:pPr>
        <w:spacing w:line="480" w:lineRule="auto"/>
        <w:rPr>
          <w:rFonts w:ascii="Arial" w:hAnsi="Arial" w:cs="Arial"/>
          <w:b/>
        </w:rPr>
      </w:pPr>
    </w:p>
    <w:p w14:paraId="026B109B" w14:textId="77777777" w:rsidR="008A6833" w:rsidRPr="00D83747" w:rsidRDefault="008A6833" w:rsidP="00D83747">
      <w:pPr>
        <w:spacing w:line="480" w:lineRule="auto"/>
        <w:rPr>
          <w:rFonts w:ascii="Arial" w:hAnsi="Arial" w:cs="Arial"/>
        </w:rPr>
      </w:pPr>
    </w:p>
    <w:sdt>
      <w:sdtPr>
        <w:rPr>
          <w:rFonts w:ascii="Arial" w:eastAsiaTheme="minorHAnsi" w:hAnsi="Arial" w:cs="Arial"/>
          <w:color w:val="auto"/>
          <w:sz w:val="22"/>
          <w:szCs w:val="22"/>
          <w:lang w:val="es-ES" w:eastAsia="en-US"/>
        </w:rPr>
        <w:id w:val="351382317"/>
        <w:docPartObj>
          <w:docPartGallery w:val="Bibliographies"/>
          <w:docPartUnique/>
        </w:docPartObj>
      </w:sdtPr>
      <w:sdtEndPr>
        <w:rPr>
          <w:lang w:val="es-MX"/>
        </w:rPr>
      </w:sdtEndPr>
      <w:sdtContent>
        <w:p w14:paraId="5E1952B7" w14:textId="77777777" w:rsidR="00206AFE" w:rsidRDefault="00206AFE" w:rsidP="00D83747">
          <w:pPr>
            <w:pStyle w:val="Ttulo1"/>
            <w:spacing w:line="480" w:lineRule="auto"/>
            <w:rPr>
              <w:rFonts w:ascii="Arial" w:eastAsiaTheme="minorHAnsi" w:hAnsi="Arial" w:cs="Arial"/>
              <w:color w:val="auto"/>
              <w:sz w:val="22"/>
              <w:szCs w:val="22"/>
              <w:lang w:val="es-ES" w:eastAsia="en-US"/>
            </w:rPr>
          </w:pPr>
        </w:p>
        <w:p w14:paraId="6F8871E8" w14:textId="0C871066" w:rsidR="00065CF1" w:rsidRPr="00D83747" w:rsidRDefault="00065CF1" w:rsidP="00D83747">
          <w:pPr>
            <w:pStyle w:val="Ttulo1"/>
            <w:spacing w:line="480" w:lineRule="auto"/>
            <w:rPr>
              <w:rFonts w:ascii="Arial" w:hAnsi="Arial" w:cs="Arial"/>
              <w:sz w:val="22"/>
              <w:szCs w:val="22"/>
            </w:rPr>
          </w:pPr>
          <w:r w:rsidRPr="00D83747">
            <w:rPr>
              <w:rFonts w:ascii="Arial" w:hAnsi="Arial" w:cs="Arial"/>
              <w:sz w:val="22"/>
              <w:szCs w:val="22"/>
              <w:lang w:val="es-ES"/>
            </w:rPr>
            <w:t>Bibliografía</w:t>
          </w:r>
        </w:p>
        <w:sdt>
          <w:sdtPr>
            <w:rPr>
              <w:rFonts w:ascii="Arial" w:hAnsi="Arial" w:cs="Arial"/>
            </w:rPr>
            <w:id w:val="111145805"/>
            <w:bibliography/>
          </w:sdtPr>
          <w:sdtEndPr/>
          <w:sdtContent>
            <w:p w14:paraId="36C40CEE" w14:textId="77777777" w:rsidR="003109EA" w:rsidRPr="00D83747" w:rsidRDefault="00065CF1" w:rsidP="00D83747">
              <w:pPr>
                <w:pStyle w:val="Bibliografa"/>
                <w:spacing w:line="480" w:lineRule="auto"/>
                <w:ind w:left="720" w:hanging="720"/>
                <w:rPr>
                  <w:rFonts w:ascii="Arial" w:hAnsi="Arial" w:cs="Arial"/>
                  <w:noProof/>
                  <w:lang w:val="uz-Cyrl-UZ"/>
                </w:rPr>
              </w:pPr>
              <w:r w:rsidRPr="00D83747">
                <w:rPr>
                  <w:rFonts w:ascii="Arial" w:hAnsi="Arial" w:cs="Arial"/>
                </w:rPr>
                <w:fldChar w:fldCharType="begin"/>
              </w:r>
              <w:r w:rsidRPr="00D83747">
                <w:rPr>
                  <w:rFonts w:ascii="Arial" w:hAnsi="Arial" w:cs="Arial"/>
                </w:rPr>
                <w:instrText>BIBLIOGRAPHY</w:instrText>
              </w:r>
              <w:r w:rsidRPr="00D83747">
                <w:rPr>
                  <w:rFonts w:ascii="Arial" w:hAnsi="Arial" w:cs="Arial"/>
                </w:rPr>
                <w:fldChar w:fldCharType="separate"/>
              </w:r>
              <w:r w:rsidR="003109EA" w:rsidRPr="00D83747">
                <w:rPr>
                  <w:rFonts w:ascii="Arial" w:hAnsi="Arial" w:cs="Arial"/>
                  <w:noProof/>
                  <w:lang w:val="uz-Cyrl-UZ"/>
                </w:rPr>
                <w:t xml:space="preserve">Alejandro, A. (n.d.). </w:t>
              </w:r>
              <w:r w:rsidR="003109EA" w:rsidRPr="00D83747">
                <w:rPr>
                  <w:rFonts w:ascii="Arial" w:hAnsi="Arial" w:cs="Arial"/>
                  <w:i/>
                  <w:iCs/>
                  <w:noProof/>
                  <w:lang w:val="uz-Cyrl-UZ"/>
                </w:rPr>
                <w:t>El proceso de la entrevista: conceptos y metodos.</w:t>
              </w:r>
              <w:r w:rsidR="003109EA" w:rsidRPr="00D83747">
                <w:rPr>
                  <w:rFonts w:ascii="Arial" w:hAnsi="Arial" w:cs="Arial"/>
                  <w:noProof/>
                  <w:lang w:val="uz-Cyrl-UZ"/>
                </w:rPr>
                <w:t xml:space="preserve"> Noriega.</w:t>
              </w:r>
            </w:p>
            <w:p w14:paraId="1A30D12B"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Alvariño</w:t>
              </w:r>
              <w:r w:rsidRPr="00D83747">
                <w:rPr>
                  <w:rFonts w:ascii="Cambria Math" w:hAnsi="Cambria Math" w:cs="Cambria Math"/>
                  <w:noProof/>
                  <w:lang w:val="es-ES"/>
                </w:rPr>
                <w:t>∗</w:t>
              </w:r>
              <w:r w:rsidRPr="00D83747">
                <w:rPr>
                  <w:rFonts w:ascii="Arial" w:hAnsi="Arial" w:cs="Arial"/>
                  <w:noProof/>
                  <w:lang w:val="es-ES"/>
                </w:rPr>
                <w:t xml:space="preserve">, C. (2000). </w:t>
              </w:r>
              <w:r w:rsidRPr="00D83747">
                <w:rPr>
                  <w:rFonts w:ascii="Arial" w:hAnsi="Arial" w:cs="Arial"/>
                  <w:i/>
                  <w:iCs/>
                  <w:noProof/>
                  <w:lang w:val="es-ES"/>
                </w:rPr>
                <w:t>GESTIÓN ESCOLAR: UN ESTADO DEL ARTE DE LA LITERATURA</w:t>
              </w:r>
              <w:r w:rsidRPr="00D83747">
                <w:rPr>
                  <w:rFonts w:ascii="Arial" w:hAnsi="Arial" w:cs="Arial"/>
                  <w:noProof/>
                  <w:lang w:val="es-ES"/>
                </w:rPr>
                <w:t>. Recuperado el 5 de septiembre de 2014, de http://www.colombiaaprende.edu.co/html/home/1592/articles-193360_archivo6.pdf</w:t>
              </w:r>
            </w:p>
            <w:p w14:paraId="5DD515C4"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Báez de la Fe, B. F. (Enero-Abril de 1994). El movimiento de escuelas eficaces: Implicaciones para la innovación educativa. </w:t>
              </w:r>
              <w:r w:rsidRPr="00D83747">
                <w:rPr>
                  <w:rFonts w:ascii="Arial" w:hAnsi="Arial" w:cs="Arial"/>
                  <w:i/>
                  <w:iCs/>
                  <w:noProof/>
                  <w:lang w:val="es-ES"/>
                </w:rPr>
                <w:t>Revista Iberoamericana de Educación</w:t>
              </w:r>
              <w:r w:rsidRPr="00D83747">
                <w:rPr>
                  <w:rFonts w:ascii="Arial" w:hAnsi="Arial" w:cs="Arial"/>
                  <w:noProof/>
                  <w:lang w:val="es-ES"/>
                </w:rPr>
                <w:t>.</w:t>
              </w:r>
            </w:p>
            <w:p w14:paraId="52B0F46B"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 xml:space="preserve">Bisquerra Alzina, R. (2004). </w:t>
              </w:r>
              <w:r w:rsidRPr="00D83747">
                <w:rPr>
                  <w:rFonts w:ascii="Arial" w:hAnsi="Arial" w:cs="Arial"/>
                  <w:i/>
                  <w:iCs/>
                  <w:noProof/>
                  <w:lang w:val="uz-Cyrl-UZ"/>
                </w:rPr>
                <w:t>Metodologia de la investigacion educativa.</w:t>
              </w:r>
              <w:r w:rsidRPr="00D83747">
                <w:rPr>
                  <w:rFonts w:ascii="Arial" w:hAnsi="Arial" w:cs="Arial"/>
                  <w:noProof/>
                  <w:lang w:val="uz-Cyrl-UZ"/>
                </w:rPr>
                <w:t xml:space="preserve"> Madrid: La Muralla.</w:t>
              </w:r>
            </w:p>
            <w:p w14:paraId="699D7C25"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Chiavenato, I. (2004). </w:t>
              </w:r>
              <w:r w:rsidRPr="00D83747">
                <w:rPr>
                  <w:rFonts w:ascii="Arial" w:hAnsi="Arial" w:cs="Arial"/>
                  <w:i/>
                  <w:iCs/>
                  <w:noProof/>
                  <w:lang w:val="es-ES"/>
                </w:rPr>
                <w:t>Introducción a la teoria general de la administración.</w:t>
              </w:r>
              <w:r w:rsidRPr="00D83747">
                <w:rPr>
                  <w:rFonts w:ascii="Arial" w:hAnsi="Arial" w:cs="Arial"/>
                  <w:noProof/>
                  <w:lang w:val="es-ES"/>
                </w:rPr>
                <w:t xml:space="preserve"> Mc Graw Hill Interamericana.</w:t>
              </w:r>
            </w:p>
            <w:p w14:paraId="59B07806"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Cota, G. G. (s.f.). </w:t>
              </w:r>
              <w:r w:rsidRPr="00D83747">
                <w:rPr>
                  <w:rFonts w:ascii="Arial" w:hAnsi="Arial" w:cs="Arial"/>
                  <w:i/>
                  <w:iCs/>
                  <w:noProof/>
                  <w:lang w:val="es-ES"/>
                </w:rPr>
                <w:t>EL PAPEL DE LOS DIRECTIVOS ESCOLARES</w:t>
              </w:r>
              <w:r w:rsidRPr="00D83747">
                <w:rPr>
                  <w:rFonts w:ascii="Arial" w:hAnsi="Arial" w:cs="Arial"/>
                  <w:noProof/>
                  <w:lang w:val="es-ES"/>
                </w:rPr>
                <w:t>. Recuperado el 2 de diciembre de 2014, de http://www.comie.org.mx/congreso/memoriaelectronica/v10/pdf/area_tematica_13/ponencias/1176-F.pdf</w:t>
              </w:r>
            </w:p>
            <w:p w14:paraId="61F95D30"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i/>
                  <w:iCs/>
                  <w:noProof/>
                  <w:lang w:val="es-ES"/>
                </w:rPr>
                <w:t>Definición.de</w:t>
              </w:r>
              <w:r w:rsidRPr="00D83747">
                <w:rPr>
                  <w:rFonts w:ascii="Arial" w:hAnsi="Arial" w:cs="Arial"/>
                  <w:noProof/>
                  <w:lang w:val="es-ES"/>
                </w:rPr>
                <w:t>. (s.f.). Recuperado el 20 de octubre de 2014, de http://definicion.de/gestion/</w:t>
              </w:r>
            </w:p>
            <w:p w14:paraId="3678E091"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Díez de Castro Emilio Pablo, G. d. (2001). </w:t>
              </w:r>
              <w:r w:rsidRPr="00D83747">
                <w:rPr>
                  <w:rFonts w:ascii="Arial" w:hAnsi="Arial" w:cs="Arial"/>
                  <w:i/>
                  <w:iCs/>
                  <w:noProof/>
                  <w:lang w:val="es-ES"/>
                </w:rPr>
                <w:t>Administración y Dirección.</w:t>
              </w:r>
              <w:r w:rsidRPr="00D83747">
                <w:rPr>
                  <w:rFonts w:ascii="Arial" w:hAnsi="Arial" w:cs="Arial"/>
                  <w:noProof/>
                  <w:lang w:val="es-ES"/>
                </w:rPr>
                <w:t xml:space="preserve"> McGraw-Hill Interamericana .</w:t>
              </w:r>
            </w:p>
            <w:p w14:paraId="564BE441"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 xml:space="preserve">Educación, R. d. (1993). </w:t>
              </w:r>
              <w:r w:rsidRPr="00D83747">
                <w:rPr>
                  <w:rFonts w:ascii="Arial" w:hAnsi="Arial" w:cs="Arial"/>
                  <w:i/>
                  <w:iCs/>
                  <w:noProof/>
                  <w:lang w:val="uz-Cyrl-UZ"/>
                </w:rPr>
                <w:t>OEI</w:t>
              </w:r>
              <w:r w:rsidRPr="00D83747">
                <w:rPr>
                  <w:rFonts w:ascii="Arial" w:hAnsi="Arial" w:cs="Arial"/>
                  <w:noProof/>
                  <w:lang w:val="uz-Cyrl-UZ"/>
                </w:rPr>
                <w:t>. Retrieved 2013 йил 18-Febrero from http://www.oei.es/quipu/peru/Reglamento_ley_educ.pdf</w:t>
              </w:r>
            </w:p>
            <w:p w14:paraId="388079B1"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ENLACE. (n.d.). Retrieved 2013 йил 18-Febrero from http://www.enlace.sep.gob.mx/ba/caracteristicas/</w:t>
              </w:r>
            </w:p>
            <w:p w14:paraId="33C93A3E"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lastRenderedPageBreak/>
                <w:t xml:space="preserve">Fe, B. F. (Enero- Abril de 1994). </w:t>
              </w:r>
              <w:r w:rsidRPr="00D83747">
                <w:rPr>
                  <w:rFonts w:ascii="Arial" w:hAnsi="Arial" w:cs="Arial"/>
                  <w:i/>
                  <w:iCs/>
                  <w:noProof/>
                  <w:lang w:val="es-ES"/>
                </w:rPr>
                <w:t>El movimiento de escuelas eficaces: Implicaciones para la innovación educativa.</w:t>
              </w:r>
              <w:r w:rsidRPr="00D83747">
                <w:rPr>
                  <w:rFonts w:ascii="Arial" w:hAnsi="Arial" w:cs="Arial"/>
                  <w:noProof/>
                  <w:lang w:val="es-ES"/>
                </w:rPr>
                <w:t xml:space="preserve"> Obtenido de Organización de Estados Iberoamericanos, Para la Educacion, la Ciencia y la Cultura: http://www.rieoei.org/oeivirt/rie04a04.htm</w:t>
              </w:r>
            </w:p>
            <w:p w14:paraId="49CC262D"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Fe, B. F. (s.f.). </w:t>
              </w:r>
              <w:r w:rsidRPr="00D83747">
                <w:rPr>
                  <w:rFonts w:ascii="Arial" w:hAnsi="Arial" w:cs="Arial"/>
                  <w:i/>
                  <w:iCs/>
                  <w:noProof/>
                  <w:lang w:val="es-ES"/>
                </w:rPr>
                <w:t>Revista Iberoamericana de Educación 2014.</w:t>
              </w:r>
              <w:r w:rsidRPr="00D83747">
                <w:rPr>
                  <w:rFonts w:ascii="Arial" w:hAnsi="Arial" w:cs="Arial"/>
                  <w:noProof/>
                  <w:lang w:val="es-ES"/>
                </w:rPr>
                <w:t xml:space="preserve"> Recuperado el 20 de Noviembre de 2014, de El movimiento de las escuelas eficaces: implicaciones para la innovación educativa: http://rieoei.org/oeivirt/rie04a04.htm</w:t>
              </w:r>
            </w:p>
            <w:p w14:paraId="37E17B64"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Flores, J. G. (s.f.). </w:t>
              </w:r>
              <w:r w:rsidRPr="00D83747">
                <w:rPr>
                  <w:rFonts w:ascii="Arial" w:hAnsi="Arial" w:cs="Arial"/>
                  <w:i/>
                  <w:iCs/>
                  <w:noProof/>
                  <w:lang w:val="es-ES"/>
                </w:rPr>
                <w:t>Universidad Tangamanga, Revista Electrónica</w:t>
              </w:r>
              <w:r w:rsidRPr="00D83747">
                <w:rPr>
                  <w:rFonts w:ascii="Arial" w:hAnsi="Arial" w:cs="Arial"/>
                  <w:noProof/>
                  <w:lang w:val="es-ES"/>
                </w:rPr>
                <w:t>. Recuperado el 2014 de Noviembre de 19, de LA IMPORTANCIA DE LA GESTIÓN ESCOLAR PARA EL BUEN FUNCIONAMIENTO DE LAS INSTITUCIONES.: http://www.universidadtangamanga.edu.mx/~revista/index.php?option=com_content&amp;view=article&amp;id=100:ejemplar-4-articulo-5&amp;catid=38:ejemplar-4&amp;Itemid=60</w:t>
              </w:r>
            </w:p>
            <w:p w14:paraId="60478C82"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Fuentes, D. C. (s.f.). </w:t>
              </w:r>
              <w:r w:rsidRPr="00D83747">
                <w:rPr>
                  <w:rFonts w:ascii="Arial" w:hAnsi="Arial" w:cs="Arial"/>
                  <w:i/>
                  <w:iCs/>
                  <w:noProof/>
                  <w:lang w:val="es-ES"/>
                </w:rPr>
                <w:t>Competencias directivas para una formación de calidad</w:t>
              </w:r>
              <w:r w:rsidRPr="00D83747">
                <w:rPr>
                  <w:rFonts w:ascii="Arial" w:hAnsi="Arial" w:cs="Arial"/>
                  <w:noProof/>
                  <w:lang w:val="es-ES"/>
                </w:rPr>
                <w:t>. Recuperado el 2014 de diciembre de 4, de Primer Congreso Internacional de Transformación Educativa: http://www.transformacion-educativa.com/congreso/ponencias/334-competencias-directivas.html</w:t>
              </w:r>
            </w:p>
            <w:p w14:paraId="33E6479F"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Global, A. U. ( 2004). </w:t>
              </w:r>
              <w:r w:rsidRPr="00D83747">
                <w:rPr>
                  <w:rFonts w:ascii="Arial" w:hAnsi="Arial" w:cs="Arial"/>
                  <w:i/>
                  <w:iCs/>
                  <w:noProof/>
                  <w:lang w:val="es-ES"/>
                </w:rPr>
                <w:t>Koontz Harold y Weihrich Heinz.</w:t>
              </w:r>
              <w:r w:rsidRPr="00D83747">
                <w:rPr>
                  <w:rFonts w:ascii="Arial" w:hAnsi="Arial" w:cs="Arial"/>
                  <w:noProof/>
                  <w:lang w:val="es-ES"/>
                </w:rPr>
                <w:t xml:space="preserve"> McGraw-Hill Interamericana.</w:t>
              </w:r>
            </w:p>
            <w:p w14:paraId="245663EC"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 xml:space="preserve">Gomez M, M. (2006). </w:t>
              </w:r>
              <w:r w:rsidRPr="00D83747">
                <w:rPr>
                  <w:rFonts w:ascii="Arial" w:hAnsi="Arial" w:cs="Arial"/>
                  <w:i/>
                  <w:iCs/>
                  <w:noProof/>
                  <w:lang w:val="uz-Cyrl-UZ"/>
                </w:rPr>
                <w:t>Introduccion a la metodologia de la investigacion cientifica.</w:t>
              </w:r>
              <w:r w:rsidRPr="00D83747">
                <w:rPr>
                  <w:rFonts w:ascii="Arial" w:hAnsi="Arial" w:cs="Arial"/>
                  <w:noProof/>
                  <w:lang w:val="uz-Cyrl-UZ"/>
                </w:rPr>
                <w:t xml:space="preserve"> Argentina: Brujas.</w:t>
              </w:r>
            </w:p>
            <w:p w14:paraId="21442150"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Gómez, M. M. (2006). Recuperado el 13 de octubre de 2014, de file:///C:/Documents%20and%20Settings/Toshiba/Mis%20documentos/Downloads/Introducci%C3%B3n%20a%20la%20Metodolog%C3%ADa%20de%20la%20Investigaci%C3%B3n%20Cient%C3%ADfica%20Autor%20Prof.%20Marcelo%20G%C3%B3mez.pdf</w:t>
              </w:r>
            </w:p>
            <w:p w14:paraId="4DBEC5F7"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lastRenderedPageBreak/>
                <w:t xml:space="preserve">Hitt Michael, B. S. (2006). </w:t>
              </w:r>
              <w:r w:rsidRPr="00D83747">
                <w:rPr>
                  <w:rFonts w:ascii="Arial" w:hAnsi="Arial" w:cs="Arial"/>
                  <w:i/>
                  <w:iCs/>
                  <w:noProof/>
                  <w:lang w:val="es-ES"/>
                </w:rPr>
                <w:t>Administración.</w:t>
              </w:r>
              <w:r w:rsidRPr="00D83747">
                <w:rPr>
                  <w:rFonts w:ascii="Arial" w:hAnsi="Arial" w:cs="Arial"/>
                  <w:noProof/>
                  <w:lang w:val="es-ES"/>
                </w:rPr>
                <w:t xml:space="preserve"> Pearson Educación.</w:t>
              </w:r>
            </w:p>
            <w:p w14:paraId="2ABD6EA5"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Ibarra, L. (30 de Enero de 2016). </w:t>
              </w:r>
              <w:r w:rsidRPr="00D83747">
                <w:rPr>
                  <w:rFonts w:ascii="Arial" w:hAnsi="Arial" w:cs="Arial"/>
                  <w:i/>
                  <w:iCs/>
                  <w:noProof/>
                  <w:lang w:val="es-ES"/>
                </w:rPr>
                <w:t>Psicologia Online.</w:t>
              </w:r>
              <w:r w:rsidRPr="00D83747">
                <w:rPr>
                  <w:rFonts w:ascii="Arial" w:hAnsi="Arial" w:cs="Arial"/>
                  <w:noProof/>
                  <w:lang w:val="es-ES"/>
                </w:rPr>
                <w:t xml:space="preserve"> Obtenido de http://www.psicologia-online.com/articulos/2006/comunicacion_escuela.shtml</w:t>
              </w:r>
            </w:p>
            <w:p w14:paraId="404A8895"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i/>
                  <w:iCs/>
                  <w:noProof/>
                  <w:lang w:val="es-ES"/>
                </w:rPr>
                <w:t>INEGI</w:t>
              </w:r>
              <w:r w:rsidRPr="00D83747">
                <w:rPr>
                  <w:rFonts w:ascii="Arial" w:hAnsi="Arial" w:cs="Arial"/>
                  <w:noProof/>
                  <w:lang w:val="es-ES"/>
                </w:rPr>
                <w:t>. (s.f.). Recuperado el 25 de agosto de 2014, de INEGI: http://www3.inegi.org.mx/sistemas/mexicocifras/default.aspx?e=09</w:t>
              </w:r>
            </w:p>
            <w:p w14:paraId="06669167"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Jihan Ruth García, P. F. (2009). </w:t>
              </w:r>
              <w:r w:rsidRPr="00D83747">
                <w:rPr>
                  <w:rFonts w:ascii="Arial" w:hAnsi="Arial" w:cs="Arial"/>
                  <w:i/>
                  <w:iCs/>
                  <w:noProof/>
                  <w:lang w:val="es-ES"/>
                </w:rPr>
                <w:t>Instituto de Investigación y desarrollo educativo</w:t>
              </w:r>
              <w:r w:rsidRPr="00D83747">
                <w:rPr>
                  <w:rFonts w:ascii="Arial" w:hAnsi="Arial" w:cs="Arial"/>
                  <w:noProof/>
                  <w:lang w:val="es-ES"/>
                </w:rPr>
                <w:t>. Recuperado el 2014 de diciembre de 2, de http://iide.ens.uabc.mx/blogs/mce/files/2011/03/Tesis-Jihan-Garc%C3%ADa-Poyato.pdf</w:t>
              </w:r>
            </w:p>
            <w:p w14:paraId="27E4C4A8"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Licenciatura en Educación Primaria 6°, G. E. (2000). Retrieved 2013 йил 18-Febrero from http://www.enesonora.edu.mx/plan_estudios/programas/6lep/gestion.pdf</w:t>
              </w:r>
            </w:p>
            <w:p w14:paraId="0E592944"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Loera, A. (2003). Planeación estratégica y política educativa. </w:t>
              </w:r>
              <w:r w:rsidRPr="00D83747">
                <w:rPr>
                  <w:rFonts w:ascii="Arial" w:hAnsi="Arial" w:cs="Arial"/>
                  <w:i/>
                  <w:iCs/>
                  <w:noProof/>
                  <w:lang w:val="es-ES"/>
                </w:rPr>
                <w:t>Documento de trabajo. México: sep.</w:t>
              </w:r>
              <w:r w:rsidRPr="00D83747">
                <w:rPr>
                  <w:rFonts w:ascii="Arial" w:hAnsi="Arial" w:cs="Arial"/>
                  <w:noProof/>
                  <w:lang w:val="es-ES"/>
                </w:rPr>
                <w:t xml:space="preserve"> </w:t>
              </w:r>
            </w:p>
            <w:p w14:paraId="0D90CD14"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Medina, E. (2012). </w:t>
              </w:r>
              <w:r w:rsidRPr="00D83747">
                <w:rPr>
                  <w:rFonts w:ascii="Arial" w:hAnsi="Arial" w:cs="Arial"/>
                  <w:i/>
                  <w:iCs/>
                  <w:noProof/>
                  <w:lang w:val="es-ES"/>
                </w:rPr>
                <w:t>Dosis económica</w:t>
              </w:r>
              <w:r w:rsidRPr="00D83747">
                <w:rPr>
                  <w:rFonts w:ascii="Arial" w:hAnsi="Arial" w:cs="Arial"/>
                  <w:noProof/>
                  <w:lang w:val="es-ES"/>
                </w:rPr>
                <w:t>. Recuperado el 28 de Enero de 2014, de El debate: http://www.debate.com.mx/eldebate/noticias/columnas.asp?IdArt=12775967&amp;IdCat=17162</w:t>
              </w:r>
            </w:p>
            <w:p w14:paraId="071834A9"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 xml:space="preserve">Mercedes Torres, E. (2006). El directivo y las escuelas de calidad. In R. F. Rivera Morales Alicia, </w:t>
              </w:r>
              <w:r w:rsidRPr="00D83747">
                <w:rPr>
                  <w:rFonts w:ascii="Arial" w:hAnsi="Arial" w:cs="Arial"/>
                  <w:i/>
                  <w:iCs/>
                  <w:noProof/>
                  <w:lang w:val="uz-Cyrl-UZ"/>
                </w:rPr>
                <w:t>Organizacion, Gestión y direccion de instituciones educativas.</w:t>
              </w:r>
              <w:r w:rsidRPr="00D83747">
                <w:rPr>
                  <w:rFonts w:ascii="Arial" w:hAnsi="Arial" w:cs="Arial"/>
                  <w:noProof/>
                  <w:lang w:val="uz-Cyrl-UZ"/>
                </w:rPr>
                <w:t xml:space="preserve"> México: más textos.</w:t>
              </w:r>
            </w:p>
            <w:p w14:paraId="46A8FA4E"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Murillo, F. J. (2006). </w:t>
              </w:r>
              <w:r w:rsidRPr="00D83747">
                <w:rPr>
                  <w:rFonts w:ascii="Arial" w:hAnsi="Arial" w:cs="Arial"/>
                  <w:i/>
                  <w:iCs/>
                  <w:noProof/>
                  <w:lang w:val="es-ES"/>
                </w:rPr>
                <w:t>Revista Electrónica Iberoamericana sobre calidad, eficacia y cambio en educación</w:t>
              </w:r>
              <w:r w:rsidRPr="00D83747">
                <w:rPr>
                  <w:rFonts w:ascii="Arial" w:hAnsi="Arial" w:cs="Arial"/>
                  <w:noProof/>
                  <w:lang w:val="es-ES"/>
                </w:rPr>
                <w:t>. Recuperado el 2 de diciembre de 2014, de “Una dirección escolar para el cambio: del liderazgo transformacional, al liderazgo distribuido": http://www.rinace.net/arts/vol4num4e/art2.pdf</w:t>
              </w:r>
            </w:p>
            <w:p w14:paraId="5B97640B"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lastRenderedPageBreak/>
                <w:t xml:space="preserve">Pam Sammons, J. H. (n.d.). </w:t>
              </w:r>
              <w:r w:rsidRPr="00D83747">
                <w:rPr>
                  <w:rFonts w:ascii="Arial" w:hAnsi="Arial" w:cs="Arial"/>
                  <w:i/>
                  <w:iCs/>
                  <w:noProof/>
                  <w:lang w:val="uz-Cyrl-UZ"/>
                </w:rPr>
                <w:t>Caracteristicas clave de las escuelas efectivas.</w:t>
              </w:r>
              <w:r w:rsidRPr="00D83747">
                <w:rPr>
                  <w:rFonts w:ascii="Arial" w:hAnsi="Arial" w:cs="Arial"/>
                  <w:noProof/>
                  <w:lang w:val="uz-Cyrl-UZ"/>
                </w:rPr>
                <w:t xml:space="preserve"> Retrieved 2013 йил 5-Julio from http://portalsej.jalisco.gob.mx/formacion-continua-superacion-profesional/sites/portalsej.jalisco.gob.mx.formacion-continua-superacion-profesional/files/pdf/16sammonscaracteristicasclave.pdf</w:t>
              </w:r>
            </w:p>
            <w:p w14:paraId="59E5CE70"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Pam Sammons, J. H. (s.f.). </w:t>
              </w:r>
              <w:r w:rsidRPr="00D83747">
                <w:rPr>
                  <w:rFonts w:ascii="Arial" w:hAnsi="Arial" w:cs="Arial"/>
                  <w:i/>
                  <w:iCs/>
                  <w:noProof/>
                  <w:lang w:val="es-ES"/>
                </w:rPr>
                <w:t>Características clave de las escuelas efectivas .</w:t>
              </w:r>
              <w:r w:rsidRPr="00D83747">
                <w:rPr>
                  <w:rFonts w:ascii="Arial" w:hAnsi="Arial" w:cs="Arial"/>
                  <w:noProof/>
                  <w:lang w:val="es-ES"/>
                </w:rPr>
                <w:t xml:space="preserve"> Recuperado el 20 de Noviembre de 2014, de http://www.setab.gob.mx/php/documentos/tecte13-14/16sammonscaracteristicasclave.pdf </w:t>
              </w:r>
            </w:p>
            <w:p w14:paraId="602D93B9"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PISA. (s.f.). </w:t>
              </w:r>
              <w:r w:rsidRPr="00D83747">
                <w:rPr>
                  <w:rFonts w:ascii="Arial" w:hAnsi="Arial" w:cs="Arial"/>
                  <w:i/>
                  <w:iCs/>
                  <w:noProof/>
                  <w:lang w:val="es-ES"/>
                </w:rPr>
                <w:t>PISA</w:t>
              </w:r>
              <w:r w:rsidRPr="00D83747">
                <w:rPr>
                  <w:rFonts w:ascii="Arial" w:hAnsi="Arial" w:cs="Arial"/>
                  <w:noProof/>
                  <w:lang w:val="es-ES"/>
                </w:rPr>
                <w:t>. Recuperado el 5 de Diciembre de 2013, de http://www.observatorio.org/comunicados/comun067.html</w:t>
              </w:r>
            </w:p>
            <w:p w14:paraId="4F8915C5"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Plan estrategico de transformación escolar. (2008). Retrieved 2013 йил 18-Febrero from http://basica.sep.gob.mx/pec/pdf/dprograma/3-PETE.pdf</w:t>
              </w:r>
            </w:p>
            <w:p w14:paraId="5915002E"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 xml:space="preserve">Pozner, d. W. (2005). </w:t>
              </w:r>
              <w:r w:rsidRPr="00D83747">
                <w:rPr>
                  <w:rFonts w:ascii="Arial" w:hAnsi="Arial" w:cs="Arial"/>
                  <w:i/>
                  <w:iCs/>
                  <w:noProof/>
                  <w:lang w:val="uz-Cyrl-UZ"/>
                </w:rPr>
                <w:t>El directivo como gestor de aprendizajes escolares.</w:t>
              </w:r>
              <w:r w:rsidRPr="00D83747">
                <w:rPr>
                  <w:rFonts w:ascii="Arial" w:hAnsi="Arial" w:cs="Arial"/>
                  <w:noProof/>
                  <w:lang w:val="uz-Cyrl-UZ"/>
                </w:rPr>
                <w:t xml:space="preserve"> Argentina: AIQUE.</w:t>
              </w:r>
            </w:p>
            <w:p w14:paraId="15B4C7D8"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Reinaldo, O. D. (2002). </w:t>
              </w:r>
              <w:r w:rsidRPr="00D83747">
                <w:rPr>
                  <w:rFonts w:ascii="Arial" w:hAnsi="Arial" w:cs="Arial"/>
                  <w:i/>
                  <w:iCs/>
                  <w:noProof/>
                  <w:lang w:val="es-ES"/>
                </w:rPr>
                <w:t>Teorias de la Administración.</w:t>
              </w:r>
              <w:r w:rsidRPr="00D83747">
                <w:rPr>
                  <w:rFonts w:ascii="Arial" w:hAnsi="Arial" w:cs="Arial"/>
                  <w:noProof/>
                  <w:lang w:val="es-ES"/>
                </w:rPr>
                <w:t xml:space="preserve"> International Thomson Editores.</w:t>
              </w:r>
            </w:p>
            <w:p w14:paraId="536368DB"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Robbins Stephen, C. M. (2005). </w:t>
              </w:r>
              <w:r w:rsidRPr="00D83747">
                <w:rPr>
                  <w:rFonts w:ascii="Arial" w:hAnsi="Arial" w:cs="Arial"/>
                  <w:i/>
                  <w:iCs/>
                  <w:noProof/>
                  <w:lang w:val="es-ES"/>
                </w:rPr>
                <w:t>Administración.</w:t>
              </w:r>
              <w:r w:rsidRPr="00D83747">
                <w:rPr>
                  <w:rFonts w:ascii="Arial" w:hAnsi="Arial" w:cs="Arial"/>
                  <w:noProof/>
                  <w:lang w:val="es-ES"/>
                </w:rPr>
                <w:t xml:space="preserve"> Pearson Educación.</w:t>
              </w:r>
            </w:p>
            <w:p w14:paraId="27BA8D06"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Sampieri, H. R. (2010). Retrieved 2013 йил 18-Febrero from http://www.uss.edu.pe/inv/seminter2011/pdf/9-Los_Metodos_Mixtos-Dr._Roberto_Hernandez_Sampieri.pdf</w:t>
              </w:r>
            </w:p>
            <w:p w14:paraId="3AC0F57F"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 xml:space="preserve">Sandin Paz, E. (2003). </w:t>
              </w:r>
              <w:r w:rsidRPr="00D83747">
                <w:rPr>
                  <w:rFonts w:ascii="Arial" w:hAnsi="Arial" w:cs="Arial"/>
                  <w:i/>
                  <w:iCs/>
                  <w:noProof/>
                  <w:lang w:val="uz-Cyrl-UZ"/>
                </w:rPr>
                <w:t>Investigacion Cualitativa en Educacion.</w:t>
              </w:r>
              <w:r w:rsidRPr="00D83747">
                <w:rPr>
                  <w:rFonts w:ascii="Arial" w:hAnsi="Arial" w:cs="Arial"/>
                  <w:noProof/>
                  <w:lang w:val="uz-Cyrl-UZ"/>
                </w:rPr>
                <w:t xml:space="preserve"> España: Mc Graw Hill.</w:t>
              </w:r>
            </w:p>
            <w:p w14:paraId="1796EC92"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Santos Guerra, M. A. (1996). </w:t>
              </w:r>
              <w:r w:rsidRPr="00D83747">
                <w:rPr>
                  <w:rFonts w:ascii="Arial" w:hAnsi="Arial" w:cs="Arial"/>
                  <w:i/>
                  <w:iCs/>
                  <w:noProof/>
                  <w:lang w:val="es-ES"/>
                </w:rPr>
                <w:t>Evaluacion Educativa 2.</w:t>
              </w:r>
              <w:r w:rsidRPr="00D83747">
                <w:rPr>
                  <w:rFonts w:ascii="Arial" w:hAnsi="Arial" w:cs="Arial"/>
                  <w:noProof/>
                  <w:lang w:val="es-ES"/>
                </w:rPr>
                <w:t xml:space="preserve"> Buenos Aires, Argentina: Magisterio del Rio de la Plata.</w:t>
              </w:r>
            </w:p>
            <w:p w14:paraId="13FE51F1" w14:textId="77777777" w:rsidR="003109EA" w:rsidRPr="00D83747" w:rsidRDefault="003109EA" w:rsidP="00D83747">
              <w:pPr>
                <w:pStyle w:val="Bibliografa"/>
                <w:spacing w:line="480" w:lineRule="auto"/>
                <w:ind w:left="720" w:hanging="720"/>
                <w:rPr>
                  <w:rFonts w:ascii="Arial" w:hAnsi="Arial" w:cs="Arial"/>
                  <w:noProof/>
                  <w:lang w:val="uz-Cyrl-UZ"/>
                </w:rPr>
              </w:pPr>
              <w:r w:rsidRPr="00D83747">
                <w:rPr>
                  <w:rFonts w:ascii="Arial" w:hAnsi="Arial" w:cs="Arial"/>
                  <w:noProof/>
                  <w:lang w:val="uz-Cyrl-UZ"/>
                </w:rPr>
                <w:t>SEP-SNTE. (2003). Retrieved 2013 йил 18-Febrero from http://www.sep.gob.mx/work/models/sep1/Resource/126652/1/ANTOLOGIAGESTION.pdf</w:t>
              </w:r>
            </w:p>
            <w:p w14:paraId="1E9A472C"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lastRenderedPageBreak/>
                <w:t xml:space="preserve">Stufflebeam L., D. (1987). </w:t>
              </w:r>
              <w:r w:rsidRPr="00D83747">
                <w:rPr>
                  <w:rFonts w:ascii="Arial" w:hAnsi="Arial" w:cs="Arial"/>
                  <w:i/>
                  <w:iCs/>
                  <w:noProof/>
                  <w:lang w:val="es-ES"/>
                </w:rPr>
                <w:t>Evaluaciòn sitemàtica.</w:t>
              </w:r>
              <w:r w:rsidRPr="00D83747">
                <w:rPr>
                  <w:rFonts w:ascii="Arial" w:hAnsi="Arial" w:cs="Arial"/>
                  <w:noProof/>
                  <w:lang w:val="es-ES"/>
                </w:rPr>
                <w:t xml:space="preserve"> España, España: Paidòs.</w:t>
              </w:r>
            </w:p>
            <w:p w14:paraId="1FA91470" w14:textId="77777777" w:rsidR="003109EA" w:rsidRPr="00D83747" w:rsidRDefault="003109EA" w:rsidP="00D83747">
              <w:pPr>
                <w:pStyle w:val="Bibliografa"/>
                <w:spacing w:line="480" w:lineRule="auto"/>
                <w:ind w:left="720" w:hanging="720"/>
                <w:rPr>
                  <w:rFonts w:ascii="Arial" w:hAnsi="Arial" w:cs="Arial"/>
                  <w:noProof/>
                  <w:lang w:val="es-ES"/>
                </w:rPr>
              </w:pPr>
              <w:r w:rsidRPr="00D83747">
                <w:rPr>
                  <w:rFonts w:ascii="Arial" w:hAnsi="Arial" w:cs="Arial"/>
                  <w:noProof/>
                  <w:lang w:val="es-ES"/>
                </w:rPr>
                <w:t xml:space="preserve">Toranzos, L. (1996). </w:t>
              </w:r>
              <w:r w:rsidRPr="00D83747">
                <w:rPr>
                  <w:rFonts w:ascii="Arial" w:hAnsi="Arial" w:cs="Arial"/>
                  <w:i/>
                  <w:iCs/>
                  <w:noProof/>
                  <w:lang w:val="es-ES"/>
                </w:rPr>
                <w:t>Revista Iberoamericana de Educación, Número 10- Evaluación de la Calidad de la Educación</w:t>
              </w:r>
              <w:r w:rsidRPr="00D83747">
                <w:rPr>
                  <w:rFonts w:ascii="Arial" w:hAnsi="Arial" w:cs="Arial"/>
                  <w:noProof/>
                  <w:lang w:val="es-ES"/>
                </w:rPr>
                <w:t>. Recuperado el 2 de diciembre de 2014, de Organización de Estados Iberoamericanos: http://www.rieoei.org/oeivirt/rie10a03.htm</w:t>
              </w:r>
            </w:p>
            <w:p w14:paraId="20DE8FF0" w14:textId="77777777" w:rsidR="00065CF1" w:rsidRPr="00D83747" w:rsidRDefault="00065CF1" w:rsidP="00D83747">
              <w:pPr>
                <w:spacing w:line="480" w:lineRule="auto"/>
                <w:rPr>
                  <w:rFonts w:ascii="Arial" w:hAnsi="Arial" w:cs="Arial"/>
                </w:rPr>
              </w:pPr>
              <w:r w:rsidRPr="00D83747">
                <w:rPr>
                  <w:rFonts w:ascii="Arial" w:hAnsi="Arial" w:cs="Arial"/>
                  <w:b/>
                  <w:bCs/>
                </w:rPr>
                <w:fldChar w:fldCharType="end"/>
              </w:r>
            </w:p>
          </w:sdtContent>
        </w:sdt>
      </w:sdtContent>
    </w:sdt>
    <w:p w14:paraId="5105E6EC" w14:textId="77777777" w:rsidR="00065CF1" w:rsidRPr="00D83747" w:rsidRDefault="00065CF1" w:rsidP="00D83747">
      <w:pPr>
        <w:spacing w:line="480" w:lineRule="auto"/>
        <w:rPr>
          <w:rFonts w:ascii="Arial" w:hAnsi="Arial" w:cs="Arial"/>
        </w:rPr>
      </w:pPr>
    </w:p>
    <w:sectPr w:rsidR="00065CF1" w:rsidRPr="00D83747" w:rsidSect="00206AFE">
      <w:pgSz w:w="12240" w:h="15840"/>
      <w:pgMar w:top="1418" w:right="1418" w:bottom="1418"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E5AAE"/>
    <w:multiLevelType w:val="hybridMultilevel"/>
    <w:tmpl w:val="395257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5E31420"/>
    <w:multiLevelType w:val="hybridMultilevel"/>
    <w:tmpl w:val="8C2E5356"/>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A7130F1"/>
    <w:multiLevelType w:val="hybridMultilevel"/>
    <w:tmpl w:val="CFFED2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3EB384F"/>
    <w:multiLevelType w:val="hybridMultilevel"/>
    <w:tmpl w:val="42BC7986"/>
    <w:lvl w:ilvl="0" w:tplc="F6E8E60E">
      <w:start w:val="54"/>
      <w:numFmt w:val="bullet"/>
      <w:lvlText w:val="-"/>
      <w:lvlJc w:val="left"/>
      <w:pPr>
        <w:ind w:left="786" w:hanging="360"/>
      </w:pPr>
      <w:rPr>
        <w:rFonts w:ascii="Arial" w:eastAsiaTheme="minorHAnsi" w:hAnsi="Arial" w:cs="Arial" w:hint="default"/>
        <w:b w:val="0"/>
        <w:sz w:val="24"/>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4">
    <w:nsid w:val="2F5219BA"/>
    <w:multiLevelType w:val="hybridMultilevel"/>
    <w:tmpl w:val="B8088E46"/>
    <w:lvl w:ilvl="0" w:tplc="174649FA">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DE4432B"/>
    <w:multiLevelType w:val="hybridMultilevel"/>
    <w:tmpl w:val="051C3D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D6A5CD0"/>
    <w:multiLevelType w:val="hybridMultilevel"/>
    <w:tmpl w:val="ABEC08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7024637C"/>
    <w:multiLevelType w:val="hybridMultilevel"/>
    <w:tmpl w:val="6E204D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1D25382"/>
    <w:multiLevelType w:val="hybridMultilevel"/>
    <w:tmpl w:val="C888A2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7D0C1972"/>
    <w:multiLevelType w:val="hybridMultilevel"/>
    <w:tmpl w:val="B54C9FB2"/>
    <w:lvl w:ilvl="0" w:tplc="174649FA">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8"/>
  </w:num>
  <w:num w:numId="5">
    <w:abstractNumId w:val="2"/>
  </w:num>
  <w:num w:numId="6">
    <w:abstractNumId w:val="7"/>
  </w:num>
  <w:num w:numId="7">
    <w:abstractNumId w:val="4"/>
  </w:num>
  <w:num w:numId="8">
    <w:abstractNumId w:val="6"/>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066"/>
    <w:rsid w:val="00020BDE"/>
    <w:rsid w:val="00030B73"/>
    <w:rsid w:val="00065CF1"/>
    <w:rsid w:val="00067621"/>
    <w:rsid w:val="000B1066"/>
    <w:rsid w:val="00145393"/>
    <w:rsid w:val="00182B76"/>
    <w:rsid w:val="00206AFE"/>
    <w:rsid w:val="0020793A"/>
    <w:rsid w:val="002365F2"/>
    <w:rsid w:val="0029557B"/>
    <w:rsid w:val="003109EA"/>
    <w:rsid w:val="00324A84"/>
    <w:rsid w:val="003A0B38"/>
    <w:rsid w:val="003B7869"/>
    <w:rsid w:val="003C4038"/>
    <w:rsid w:val="00415128"/>
    <w:rsid w:val="0043335C"/>
    <w:rsid w:val="004C3A16"/>
    <w:rsid w:val="005D1AA5"/>
    <w:rsid w:val="006154A7"/>
    <w:rsid w:val="00631BB2"/>
    <w:rsid w:val="006D6003"/>
    <w:rsid w:val="008A6833"/>
    <w:rsid w:val="00944405"/>
    <w:rsid w:val="0095482A"/>
    <w:rsid w:val="009C6AF1"/>
    <w:rsid w:val="009D41E5"/>
    <w:rsid w:val="009D6501"/>
    <w:rsid w:val="009E65CC"/>
    <w:rsid w:val="009F6C33"/>
    <w:rsid w:val="00A5708F"/>
    <w:rsid w:val="00A86B52"/>
    <w:rsid w:val="00AF2A55"/>
    <w:rsid w:val="00B37058"/>
    <w:rsid w:val="00B95CB7"/>
    <w:rsid w:val="00D2431F"/>
    <w:rsid w:val="00D26A51"/>
    <w:rsid w:val="00D83747"/>
    <w:rsid w:val="00E200B9"/>
    <w:rsid w:val="00F04B67"/>
    <w:rsid w:val="00F57567"/>
    <w:rsid w:val="00FA1B08"/>
    <w:rsid w:val="00FD05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94D8C"/>
  <w15:chartTrackingRefBased/>
  <w15:docId w15:val="{727A9589-2642-488C-B63B-08E170E24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065CF1"/>
    <w:pPr>
      <w:keepNext/>
      <w:keepLines/>
      <w:spacing w:before="240" w:after="0"/>
      <w:outlineLvl w:val="0"/>
    </w:pPr>
    <w:rPr>
      <w:rFonts w:asciiTheme="majorHAnsi" w:eastAsiaTheme="majorEastAsia" w:hAnsiTheme="majorHAnsi" w:cstheme="majorBidi"/>
      <w:color w:val="2E74B5" w:themeColor="accent1" w:themeShade="BF"/>
      <w:sz w:val="32"/>
      <w:szCs w:val="3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9D41E5"/>
    <w:rPr>
      <w:i/>
      <w:iCs/>
    </w:rPr>
  </w:style>
  <w:style w:type="character" w:customStyle="1" w:styleId="apple-converted-space">
    <w:name w:val="apple-converted-space"/>
    <w:basedOn w:val="Fuentedeprrafopredeter"/>
    <w:rsid w:val="009D41E5"/>
  </w:style>
  <w:style w:type="paragraph" w:styleId="Prrafodelista">
    <w:name w:val="List Paragraph"/>
    <w:basedOn w:val="Normal"/>
    <w:uiPriority w:val="34"/>
    <w:qFormat/>
    <w:rsid w:val="00631BB2"/>
    <w:pPr>
      <w:spacing w:after="0" w:line="240" w:lineRule="auto"/>
      <w:ind w:left="720"/>
      <w:contextualSpacing/>
    </w:pPr>
    <w:rPr>
      <w:kern w:val="2"/>
      <w:lang w:val="en-US"/>
    </w:rPr>
  </w:style>
  <w:style w:type="character" w:styleId="Refdecomentario">
    <w:name w:val="annotation reference"/>
    <w:basedOn w:val="Fuentedeprrafopredeter"/>
    <w:uiPriority w:val="99"/>
    <w:semiHidden/>
    <w:unhideWhenUsed/>
    <w:rsid w:val="00631BB2"/>
    <w:rPr>
      <w:sz w:val="16"/>
      <w:szCs w:val="16"/>
    </w:rPr>
  </w:style>
  <w:style w:type="paragraph" w:styleId="Textocomentario">
    <w:name w:val="annotation text"/>
    <w:basedOn w:val="Normal"/>
    <w:link w:val="TextocomentarioCar"/>
    <w:uiPriority w:val="99"/>
    <w:semiHidden/>
    <w:unhideWhenUsed/>
    <w:rsid w:val="00631BB2"/>
    <w:pPr>
      <w:spacing w:after="200" w:line="240" w:lineRule="auto"/>
    </w:pPr>
    <w:rPr>
      <w:sz w:val="20"/>
      <w:szCs w:val="20"/>
    </w:rPr>
  </w:style>
  <w:style w:type="character" w:customStyle="1" w:styleId="TextocomentarioCar">
    <w:name w:val="Texto comentario Car"/>
    <w:basedOn w:val="Fuentedeprrafopredeter"/>
    <w:link w:val="Textocomentario"/>
    <w:uiPriority w:val="99"/>
    <w:semiHidden/>
    <w:rsid w:val="00631BB2"/>
    <w:rPr>
      <w:sz w:val="20"/>
      <w:szCs w:val="20"/>
    </w:rPr>
  </w:style>
  <w:style w:type="paragraph" w:styleId="Textodeglobo">
    <w:name w:val="Balloon Text"/>
    <w:basedOn w:val="Normal"/>
    <w:link w:val="TextodegloboCar"/>
    <w:uiPriority w:val="99"/>
    <w:semiHidden/>
    <w:unhideWhenUsed/>
    <w:rsid w:val="00631B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31BB2"/>
    <w:rPr>
      <w:rFonts w:ascii="Segoe UI" w:hAnsi="Segoe UI" w:cs="Segoe UI"/>
      <w:sz w:val="18"/>
      <w:szCs w:val="18"/>
    </w:rPr>
  </w:style>
  <w:style w:type="table" w:styleId="Tablaconcuadrcula">
    <w:name w:val="Table Grid"/>
    <w:basedOn w:val="Tablanormal"/>
    <w:uiPriority w:val="59"/>
    <w:rsid w:val="002079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065CF1"/>
    <w:rPr>
      <w:rFonts w:asciiTheme="majorHAnsi" w:eastAsiaTheme="majorEastAsia" w:hAnsiTheme="majorHAnsi" w:cstheme="majorBidi"/>
      <w:color w:val="2E74B5" w:themeColor="accent1" w:themeShade="BF"/>
      <w:sz w:val="32"/>
      <w:szCs w:val="32"/>
      <w:lang w:eastAsia="es-MX"/>
    </w:rPr>
  </w:style>
  <w:style w:type="paragraph" w:styleId="Bibliografa">
    <w:name w:val="Bibliography"/>
    <w:basedOn w:val="Normal"/>
    <w:next w:val="Normal"/>
    <w:uiPriority w:val="37"/>
    <w:unhideWhenUsed/>
    <w:rsid w:val="00065CF1"/>
  </w:style>
  <w:style w:type="paragraph" w:styleId="Asuntodelcomentario">
    <w:name w:val="annotation subject"/>
    <w:basedOn w:val="Textocomentario"/>
    <w:next w:val="Textocomentario"/>
    <w:link w:val="AsuntodelcomentarioCar"/>
    <w:uiPriority w:val="99"/>
    <w:semiHidden/>
    <w:unhideWhenUsed/>
    <w:rsid w:val="003A0B38"/>
    <w:pPr>
      <w:spacing w:after="160"/>
    </w:pPr>
    <w:rPr>
      <w:b/>
      <w:bCs/>
    </w:rPr>
  </w:style>
  <w:style w:type="character" w:customStyle="1" w:styleId="AsuntodelcomentarioCar">
    <w:name w:val="Asunto del comentario Car"/>
    <w:basedOn w:val="TextocomentarioCar"/>
    <w:link w:val="Asuntodelcomentario"/>
    <w:uiPriority w:val="99"/>
    <w:semiHidden/>
    <w:rsid w:val="003A0B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45257">
      <w:bodyDiv w:val="1"/>
      <w:marLeft w:val="0"/>
      <w:marRight w:val="0"/>
      <w:marTop w:val="0"/>
      <w:marBottom w:val="0"/>
      <w:divBdr>
        <w:top w:val="none" w:sz="0" w:space="0" w:color="auto"/>
        <w:left w:val="none" w:sz="0" w:space="0" w:color="auto"/>
        <w:bottom w:val="none" w:sz="0" w:space="0" w:color="auto"/>
        <w:right w:val="none" w:sz="0" w:space="0" w:color="auto"/>
      </w:divBdr>
    </w:div>
    <w:div w:id="363598069">
      <w:bodyDiv w:val="1"/>
      <w:marLeft w:val="0"/>
      <w:marRight w:val="0"/>
      <w:marTop w:val="0"/>
      <w:marBottom w:val="0"/>
      <w:divBdr>
        <w:top w:val="none" w:sz="0" w:space="0" w:color="auto"/>
        <w:left w:val="none" w:sz="0" w:space="0" w:color="auto"/>
        <w:bottom w:val="none" w:sz="0" w:space="0" w:color="auto"/>
        <w:right w:val="none" w:sz="0" w:space="0" w:color="auto"/>
      </w:divBdr>
    </w:div>
    <w:div w:id="377553591">
      <w:bodyDiv w:val="1"/>
      <w:marLeft w:val="0"/>
      <w:marRight w:val="0"/>
      <w:marTop w:val="0"/>
      <w:marBottom w:val="0"/>
      <w:divBdr>
        <w:top w:val="none" w:sz="0" w:space="0" w:color="auto"/>
        <w:left w:val="none" w:sz="0" w:space="0" w:color="auto"/>
        <w:bottom w:val="none" w:sz="0" w:space="0" w:color="auto"/>
        <w:right w:val="none" w:sz="0" w:space="0" w:color="auto"/>
      </w:divBdr>
    </w:div>
    <w:div w:id="447629498">
      <w:bodyDiv w:val="1"/>
      <w:marLeft w:val="0"/>
      <w:marRight w:val="0"/>
      <w:marTop w:val="0"/>
      <w:marBottom w:val="0"/>
      <w:divBdr>
        <w:top w:val="none" w:sz="0" w:space="0" w:color="auto"/>
        <w:left w:val="none" w:sz="0" w:space="0" w:color="auto"/>
        <w:bottom w:val="none" w:sz="0" w:space="0" w:color="auto"/>
        <w:right w:val="none" w:sz="0" w:space="0" w:color="auto"/>
      </w:divBdr>
    </w:div>
    <w:div w:id="452138860">
      <w:bodyDiv w:val="1"/>
      <w:marLeft w:val="0"/>
      <w:marRight w:val="0"/>
      <w:marTop w:val="0"/>
      <w:marBottom w:val="0"/>
      <w:divBdr>
        <w:top w:val="none" w:sz="0" w:space="0" w:color="auto"/>
        <w:left w:val="none" w:sz="0" w:space="0" w:color="auto"/>
        <w:bottom w:val="none" w:sz="0" w:space="0" w:color="auto"/>
        <w:right w:val="none" w:sz="0" w:space="0" w:color="auto"/>
      </w:divBdr>
    </w:div>
    <w:div w:id="542788025">
      <w:bodyDiv w:val="1"/>
      <w:marLeft w:val="0"/>
      <w:marRight w:val="0"/>
      <w:marTop w:val="0"/>
      <w:marBottom w:val="0"/>
      <w:divBdr>
        <w:top w:val="none" w:sz="0" w:space="0" w:color="auto"/>
        <w:left w:val="none" w:sz="0" w:space="0" w:color="auto"/>
        <w:bottom w:val="none" w:sz="0" w:space="0" w:color="auto"/>
        <w:right w:val="none" w:sz="0" w:space="0" w:color="auto"/>
      </w:divBdr>
    </w:div>
    <w:div w:id="664743157">
      <w:bodyDiv w:val="1"/>
      <w:marLeft w:val="0"/>
      <w:marRight w:val="0"/>
      <w:marTop w:val="0"/>
      <w:marBottom w:val="0"/>
      <w:divBdr>
        <w:top w:val="none" w:sz="0" w:space="0" w:color="auto"/>
        <w:left w:val="none" w:sz="0" w:space="0" w:color="auto"/>
        <w:bottom w:val="none" w:sz="0" w:space="0" w:color="auto"/>
        <w:right w:val="none" w:sz="0" w:space="0" w:color="auto"/>
      </w:divBdr>
    </w:div>
    <w:div w:id="728966650">
      <w:bodyDiv w:val="1"/>
      <w:marLeft w:val="0"/>
      <w:marRight w:val="0"/>
      <w:marTop w:val="0"/>
      <w:marBottom w:val="0"/>
      <w:divBdr>
        <w:top w:val="none" w:sz="0" w:space="0" w:color="auto"/>
        <w:left w:val="none" w:sz="0" w:space="0" w:color="auto"/>
        <w:bottom w:val="none" w:sz="0" w:space="0" w:color="auto"/>
        <w:right w:val="none" w:sz="0" w:space="0" w:color="auto"/>
      </w:divBdr>
    </w:div>
    <w:div w:id="814295558">
      <w:bodyDiv w:val="1"/>
      <w:marLeft w:val="0"/>
      <w:marRight w:val="0"/>
      <w:marTop w:val="0"/>
      <w:marBottom w:val="0"/>
      <w:divBdr>
        <w:top w:val="none" w:sz="0" w:space="0" w:color="auto"/>
        <w:left w:val="none" w:sz="0" w:space="0" w:color="auto"/>
        <w:bottom w:val="none" w:sz="0" w:space="0" w:color="auto"/>
        <w:right w:val="none" w:sz="0" w:space="0" w:color="auto"/>
      </w:divBdr>
    </w:div>
    <w:div w:id="954677386">
      <w:bodyDiv w:val="1"/>
      <w:marLeft w:val="0"/>
      <w:marRight w:val="0"/>
      <w:marTop w:val="0"/>
      <w:marBottom w:val="0"/>
      <w:divBdr>
        <w:top w:val="none" w:sz="0" w:space="0" w:color="auto"/>
        <w:left w:val="none" w:sz="0" w:space="0" w:color="auto"/>
        <w:bottom w:val="none" w:sz="0" w:space="0" w:color="auto"/>
        <w:right w:val="none" w:sz="0" w:space="0" w:color="auto"/>
      </w:divBdr>
    </w:div>
    <w:div w:id="1093358214">
      <w:bodyDiv w:val="1"/>
      <w:marLeft w:val="0"/>
      <w:marRight w:val="0"/>
      <w:marTop w:val="0"/>
      <w:marBottom w:val="0"/>
      <w:divBdr>
        <w:top w:val="none" w:sz="0" w:space="0" w:color="auto"/>
        <w:left w:val="none" w:sz="0" w:space="0" w:color="auto"/>
        <w:bottom w:val="none" w:sz="0" w:space="0" w:color="auto"/>
        <w:right w:val="none" w:sz="0" w:space="0" w:color="auto"/>
      </w:divBdr>
    </w:div>
    <w:div w:id="1131553755">
      <w:bodyDiv w:val="1"/>
      <w:marLeft w:val="0"/>
      <w:marRight w:val="0"/>
      <w:marTop w:val="0"/>
      <w:marBottom w:val="0"/>
      <w:divBdr>
        <w:top w:val="none" w:sz="0" w:space="0" w:color="auto"/>
        <w:left w:val="none" w:sz="0" w:space="0" w:color="auto"/>
        <w:bottom w:val="none" w:sz="0" w:space="0" w:color="auto"/>
        <w:right w:val="none" w:sz="0" w:space="0" w:color="auto"/>
      </w:divBdr>
    </w:div>
    <w:div w:id="1274632802">
      <w:bodyDiv w:val="1"/>
      <w:marLeft w:val="0"/>
      <w:marRight w:val="0"/>
      <w:marTop w:val="0"/>
      <w:marBottom w:val="0"/>
      <w:divBdr>
        <w:top w:val="none" w:sz="0" w:space="0" w:color="auto"/>
        <w:left w:val="none" w:sz="0" w:space="0" w:color="auto"/>
        <w:bottom w:val="none" w:sz="0" w:space="0" w:color="auto"/>
        <w:right w:val="none" w:sz="0" w:space="0" w:color="auto"/>
      </w:divBdr>
    </w:div>
    <w:div w:id="1365252108">
      <w:bodyDiv w:val="1"/>
      <w:marLeft w:val="0"/>
      <w:marRight w:val="0"/>
      <w:marTop w:val="0"/>
      <w:marBottom w:val="0"/>
      <w:divBdr>
        <w:top w:val="none" w:sz="0" w:space="0" w:color="auto"/>
        <w:left w:val="none" w:sz="0" w:space="0" w:color="auto"/>
        <w:bottom w:val="none" w:sz="0" w:space="0" w:color="auto"/>
        <w:right w:val="none" w:sz="0" w:space="0" w:color="auto"/>
      </w:divBdr>
    </w:div>
    <w:div w:id="1493831339">
      <w:bodyDiv w:val="1"/>
      <w:marLeft w:val="0"/>
      <w:marRight w:val="0"/>
      <w:marTop w:val="0"/>
      <w:marBottom w:val="0"/>
      <w:divBdr>
        <w:top w:val="none" w:sz="0" w:space="0" w:color="auto"/>
        <w:left w:val="none" w:sz="0" w:space="0" w:color="auto"/>
        <w:bottom w:val="none" w:sz="0" w:space="0" w:color="auto"/>
        <w:right w:val="none" w:sz="0" w:space="0" w:color="auto"/>
      </w:divBdr>
    </w:div>
    <w:div w:id="1564756442">
      <w:bodyDiv w:val="1"/>
      <w:marLeft w:val="0"/>
      <w:marRight w:val="0"/>
      <w:marTop w:val="0"/>
      <w:marBottom w:val="0"/>
      <w:divBdr>
        <w:top w:val="none" w:sz="0" w:space="0" w:color="auto"/>
        <w:left w:val="none" w:sz="0" w:space="0" w:color="auto"/>
        <w:bottom w:val="none" w:sz="0" w:space="0" w:color="auto"/>
        <w:right w:val="none" w:sz="0" w:space="0" w:color="auto"/>
      </w:divBdr>
    </w:div>
    <w:div w:id="1674065874">
      <w:bodyDiv w:val="1"/>
      <w:marLeft w:val="0"/>
      <w:marRight w:val="0"/>
      <w:marTop w:val="0"/>
      <w:marBottom w:val="0"/>
      <w:divBdr>
        <w:top w:val="none" w:sz="0" w:space="0" w:color="auto"/>
        <w:left w:val="none" w:sz="0" w:space="0" w:color="auto"/>
        <w:bottom w:val="none" w:sz="0" w:space="0" w:color="auto"/>
        <w:right w:val="none" w:sz="0" w:space="0" w:color="auto"/>
      </w:divBdr>
    </w:div>
    <w:div w:id="1758938517">
      <w:bodyDiv w:val="1"/>
      <w:marLeft w:val="0"/>
      <w:marRight w:val="0"/>
      <w:marTop w:val="0"/>
      <w:marBottom w:val="0"/>
      <w:divBdr>
        <w:top w:val="none" w:sz="0" w:space="0" w:color="auto"/>
        <w:left w:val="none" w:sz="0" w:space="0" w:color="auto"/>
        <w:bottom w:val="none" w:sz="0" w:space="0" w:color="auto"/>
        <w:right w:val="none" w:sz="0" w:space="0" w:color="auto"/>
      </w:divBdr>
    </w:div>
    <w:div w:id="1767842074">
      <w:bodyDiv w:val="1"/>
      <w:marLeft w:val="0"/>
      <w:marRight w:val="0"/>
      <w:marTop w:val="0"/>
      <w:marBottom w:val="0"/>
      <w:divBdr>
        <w:top w:val="none" w:sz="0" w:space="0" w:color="auto"/>
        <w:left w:val="none" w:sz="0" w:space="0" w:color="auto"/>
        <w:bottom w:val="none" w:sz="0" w:space="0" w:color="auto"/>
        <w:right w:val="none" w:sz="0" w:space="0" w:color="auto"/>
      </w:divBdr>
    </w:div>
    <w:div w:id="1807813391">
      <w:bodyDiv w:val="1"/>
      <w:marLeft w:val="0"/>
      <w:marRight w:val="0"/>
      <w:marTop w:val="0"/>
      <w:marBottom w:val="0"/>
      <w:divBdr>
        <w:top w:val="none" w:sz="0" w:space="0" w:color="auto"/>
        <w:left w:val="none" w:sz="0" w:space="0" w:color="auto"/>
        <w:bottom w:val="none" w:sz="0" w:space="0" w:color="auto"/>
        <w:right w:val="none" w:sz="0" w:space="0" w:color="auto"/>
      </w:divBdr>
    </w:div>
    <w:div w:id="1870483629">
      <w:bodyDiv w:val="1"/>
      <w:marLeft w:val="0"/>
      <w:marRight w:val="0"/>
      <w:marTop w:val="0"/>
      <w:marBottom w:val="0"/>
      <w:divBdr>
        <w:top w:val="none" w:sz="0" w:space="0" w:color="auto"/>
        <w:left w:val="none" w:sz="0" w:space="0" w:color="auto"/>
        <w:bottom w:val="none" w:sz="0" w:space="0" w:color="auto"/>
        <w:right w:val="none" w:sz="0" w:space="0" w:color="auto"/>
      </w:divBdr>
    </w:div>
    <w:div w:id="207423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chart" Target="charts/chart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3.xml"/><Relationship Id="rId1" Type="http://schemas.microsoft.com/office/2011/relationships/chartStyle" Target="style3.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7.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Hoja1!$B$1</c:f>
              <c:strCache>
                <c:ptCount val="1"/>
                <c:pt idx="0">
                  <c:v>Modalidad</c:v>
                </c:pt>
              </c:strCache>
            </c:strRef>
          </c:tx>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Ref>
              <c:f>Hoja1!$A$2:$A$6</c:f>
              <c:strCache>
                <c:ptCount val="5"/>
                <c:pt idx="0">
                  <c:v>Telesecundaria</c:v>
                </c:pt>
                <c:pt idx="1">
                  <c:v>Tecnica</c:v>
                </c:pt>
                <c:pt idx="2">
                  <c:v>General</c:v>
                </c:pt>
                <c:pt idx="3">
                  <c:v>Particular</c:v>
                </c:pt>
                <c:pt idx="4">
                  <c:v>Para Trabajadores</c:v>
                </c:pt>
              </c:strCache>
            </c:strRef>
          </c:cat>
          <c:val>
            <c:numRef>
              <c:f>Hoja1!$B$2:$B$6</c:f>
              <c:numCache>
                <c:formatCode>General</c:formatCode>
                <c:ptCount val="5"/>
                <c:pt idx="0">
                  <c:v>14</c:v>
                </c:pt>
                <c:pt idx="1">
                  <c:v>30.2</c:v>
                </c:pt>
                <c:pt idx="2">
                  <c:v>39.5</c:v>
                </c:pt>
                <c:pt idx="3">
                  <c:v>9.3000000000000007</c:v>
                </c:pt>
                <c:pt idx="4">
                  <c:v>7</c:v>
                </c:pt>
              </c:numCache>
            </c:numRef>
          </c:val>
        </c:ser>
        <c:dLbls>
          <c:showLegendKey val="0"/>
          <c:showVal val="0"/>
          <c:showCatName val="1"/>
          <c:showSerName val="0"/>
          <c:showPercent val="1"/>
          <c:showBubbleSize val="0"/>
          <c:showLeaderLines val="1"/>
        </c:dLbls>
        <c:firstSliceAng val="0"/>
      </c:pieChart>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s-MX" sz="1000" b="1" i="0" baseline="0">
                <a:effectLst/>
              </a:rPr>
              <a:t>Gráfica 2. Infraestructura en escuelas de AL</a:t>
            </a:r>
            <a:endParaRPr lang="es-MX" sz="1000" b="1">
              <a:effectLst/>
            </a:endParaRPr>
          </a:p>
        </c:rich>
      </c:tx>
      <c:layout/>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SI cuenta con sala de maestros</c:v>
                </c:pt>
              </c:strCache>
            </c:strRef>
          </c:tx>
          <c:spPr>
            <a:solidFill>
              <a:schemeClr val="accent1"/>
            </a:solidFill>
            <a:ln>
              <a:noFill/>
            </a:ln>
            <a:effectLst/>
          </c:spPr>
          <c:invertIfNegative val="0"/>
          <c:cat>
            <c:strRef>
              <c:f>Hoja1!$A$2:$A$5</c:f>
              <c:strCache>
                <c:ptCount val="4"/>
                <c:pt idx="0">
                  <c:v>D.F ALTO</c:v>
                </c:pt>
                <c:pt idx="1">
                  <c:v>DURANGO ALTO</c:v>
                </c:pt>
                <c:pt idx="2">
                  <c:v>OAXACA ALTO</c:v>
                </c:pt>
                <c:pt idx="3">
                  <c:v>SONORA ALTO</c:v>
                </c:pt>
              </c:strCache>
            </c:strRef>
          </c:cat>
          <c:val>
            <c:numRef>
              <c:f>Hoja1!$B$2:$B$5</c:f>
              <c:numCache>
                <c:formatCode>General</c:formatCode>
                <c:ptCount val="4"/>
                <c:pt idx="0">
                  <c:v>4</c:v>
                </c:pt>
                <c:pt idx="1">
                  <c:v>2</c:v>
                </c:pt>
                <c:pt idx="2">
                  <c:v>2</c:v>
                </c:pt>
                <c:pt idx="3">
                  <c:v>2</c:v>
                </c:pt>
              </c:numCache>
            </c:numRef>
          </c:val>
        </c:ser>
        <c:ser>
          <c:idx val="1"/>
          <c:order val="1"/>
          <c:tx>
            <c:strRef>
              <c:f>Hoja1!$C$1</c:f>
              <c:strCache>
                <c:ptCount val="1"/>
                <c:pt idx="0">
                  <c:v>SI cuenta con sala de reunion para el consejo academico </c:v>
                </c:pt>
              </c:strCache>
            </c:strRef>
          </c:tx>
          <c:spPr>
            <a:solidFill>
              <a:schemeClr val="accent2"/>
            </a:solidFill>
            <a:ln>
              <a:noFill/>
            </a:ln>
            <a:effectLst/>
          </c:spPr>
          <c:invertIfNegative val="0"/>
          <c:cat>
            <c:strRef>
              <c:f>Hoja1!$A$2:$A$5</c:f>
              <c:strCache>
                <c:ptCount val="4"/>
                <c:pt idx="0">
                  <c:v>D.F ALTO</c:v>
                </c:pt>
                <c:pt idx="1">
                  <c:v>DURANGO ALTO</c:v>
                </c:pt>
                <c:pt idx="2">
                  <c:v>OAXACA ALTO</c:v>
                </c:pt>
                <c:pt idx="3">
                  <c:v>SONORA ALTO</c:v>
                </c:pt>
              </c:strCache>
            </c:strRef>
          </c:cat>
          <c:val>
            <c:numRef>
              <c:f>Hoja1!$C$2:$C$5</c:f>
              <c:numCache>
                <c:formatCode>General</c:formatCode>
                <c:ptCount val="4"/>
                <c:pt idx="0">
                  <c:v>3</c:v>
                </c:pt>
                <c:pt idx="1">
                  <c:v>1</c:v>
                </c:pt>
                <c:pt idx="2">
                  <c:v>1</c:v>
                </c:pt>
                <c:pt idx="3">
                  <c:v>3</c:v>
                </c:pt>
              </c:numCache>
            </c:numRef>
          </c:val>
        </c:ser>
        <c:ser>
          <c:idx val="3"/>
          <c:order val="2"/>
          <c:tx>
            <c:strRef>
              <c:f>Hoja1!$E$1</c:f>
              <c:strCache>
                <c:ptCount val="1"/>
                <c:pt idx="0">
                  <c:v>SI cuenta con pizarrones suficientes</c:v>
                </c:pt>
              </c:strCache>
            </c:strRef>
          </c:tx>
          <c:spPr>
            <a:solidFill>
              <a:schemeClr val="accent4"/>
            </a:solidFill>
            <a:ln>
              <a:noFill/>
            </a:ln>
            <a:effectLst/>
          </c:spPr>
          <c:invertIfNegative val="0"/>
          <c:cat>
            <c:strRef>
              <c:f>Hoja1!$A$2:$A$5</c:f>
              <c:strCache>
                <c:ptCount val="4"/>
                <c:pt idx="0">
                  <c:v>D.F ALTO</c:v>
                </c:pt>
                <c:pt idx="1">
                  <c:v>DURANGO ALTO</c:v>
                </c:pt>
                <c:pt idx="2">
                  <c:v>OAXACA ALTO</c:v>
                </c:pt>
                <c:pt idx="3">
                  <c:v>SONORA ALTO</c:v>
                </c:pt>
              </c:strCache>
            </c:strRef>
          </c:cat>
          <c:val>
            <c:numRef>
              <c:f>Hoja1!$E$2:$E$5</c:f>
              <c:numCache>
                <c:formatCode>General</c:formatCode>
                <c:ptCount val="4"/>
                <c:pt idx="0">
                  <c:v>7</c:v>
                </c:pt>
                <c:pt idx="1">
                  <c:v>5</c:v>
                </c:pt>
                <c:pt idx="2">
                  <c:v>4</c:v>
                </c:pt>
                <c:pt idx="3">
                  <c:v>4</c:v>
                </c:pt>
              </c:numCache>
            </c:numRef>
          </c:val>
        </c:ser>
        <c:ser>
          <c:idx val="4"/>
          <c:order val="3"/>
          <c:tx>
            <c:strRef>
              <c:f>Hoja1!$F$1</c:f>
              <c:strCache>
                <c:ptCount val="1"/>
                <c:pt idx="0">
                  <c:v>SI cuenta con aulas suficientes para la demanda de la matricula</c:v>
                </c:pt>
              </c:strCache>
            </c:strRef>
          </c:tx>
          <c:spPr>
            <a:solidFill>
              <a:schemeClr val="accent5"/>
            </a:solidFill>
            <a:ln>
              <a:noFill/>
            </a:ln>
            <a:effectLst/>
          </c:spPr>
          <c:invertIfNegative val="0"/>
          <c:cat>
            <c:strRef>
              <c:f>Hoja1!$A$2:$A$5</c:f>
              <c:strCache>
                <c:ptCount val="4"/>
                <c:pt idx="0">
                  <c:v>D.F ALTO</c:v>
                </c:pt>
                <c:pt idx="1">
                  <c:v>DURANGO ALTO</c:v>
                </c:pt>
                <c:pt idx="2">
                  <c:v>OAXACA ALTO</c:v>
                </c:pt>
                <c:pt idx="3">
                  <c:v>SONORA ALTO</c:v>
                </c:pt>
              </c:strCache>
            </c:strRef>
          </c:cat>
          <c:val>
            <c:numRef>
              <c:f>Hoja1!$F$2:$F$5</c:f>
              <c:numCache>
                <c:formatCode>General</c:formatCode>
                <c:ptCount val="4"/>
                <c:pt idx="0">
                  <c:v>6</c:v>
                </c:pt>
                <c:pt idx="1">
                  <c:v>4</c:v>
                </c:pt>
                <c:pt idx="2">
                  <c:v>2</c:v>
                </c:pt>
                <c:pt idx="3">
                  <c:v>3</c:v>
                </c:pt>
              </c:numCache>
            </c:numRef>
          </c:val>
        </c:ser>
        <c:ser>
          <c:idx val="5"/>
          <c:order val="4"/>
          <c:tx>
            <c:strRef>
              <c:f>Hoja1!$G$1</c:f>
              <c:strCache>
                <c:ptCount val="1"/>
                <c:pt idx="0">
                  <c:v>SI cuenta con bancas suficientes para los alumnos </c:v>
                </c:pt>
              </c:strCache>
            </c:strRef>
          </c:tx>
          <c:spPr>
            <a:solidFill>
              <a:schemeClr val="accent6"/>
            </a:solidFill>
            <a:ln>
              <a:noFill/>
            </a:ln>
            <a:effectLst/>
          </c:spPr>
          <c:invertIfNegative val="0"/>
          <c:cat>
            <c:strRef>
              <c:f>Hoja1!$A$2:$A$5</c:f>
              <c:strCache>
                <c:ptCount val="4"/>
                <c:pt idx="0">
                  <c:v>D.F ALTO</c:v>
                </c:pt>
                <c:pt idx="1">
                  <c:v>DURANGO ALTO</c:v>
                </c:pt>
                <c:pt idx="2">
                  <c:v>OAXACA ALTO</c:v>
                </c:pt>
                <c:pt idx="3">
                  <c:v>SONORA ALTO</c:v>
                </c:pt>
              </c:strCache>
            </c:strRef>
          </c:cat>
          <c:val>
            <c:numRef>
              <c:f>Hoja1!$G$2:$G$5</c:f>
              <c:numCache>
                <c:formatCode>General</c:formatCode>
                <c:ptCount val="4"/>
                <c:pt idx="0">
                  <c:v>5</c:v>
                </c:pt>
                <c:pt idx="1">
                  <c:v>5</c:v>
                </c:pt>
                <c:pt idx="2">
                  <c:v>3</c:v>
                </c:pt>
                <c:pt idx="3">
                  <c:v>4</c:v>
                </c:pt>
              </c:numCache>
            </c:numRef>
          </c:val>
        </c:ser>
        <c:ser>
          <c:idx val="6"/>
          <c:order val="5"/>
          <c:tx>
            <c:strRef>
              <c:f>Hoja1!$H$1</c:f>
              <c:strCache>
                <c:ptCount val="1"/>
                <c:pt idx="0">
                  <c:v>La escuela en general se ve en buenas condiciones</c:v>
                </c:pt>
              </c:strCache>
            </c:strRef>
          </c:tx>
          <c:spPr>
            <a:solidFill>
              <a:schemeClr val="accent1">
                <a:lumMod val="60000"/>
              </a:schemeClr>
            </a:solidFill>
            <a:ln>
              <a:noFill/>
            </a:ln>
            <a:effectLst/>
          </c:spPr>
          <c:invertIfNegative val="0"/>
          <c:cat>
            <c:strRef>
              <c:f>Hoja1!$A$2:$A$5</c:f>
              <c:strCache>
                <c:ptCount val="4"/>
                <c:pt idx="0">
                  <c:v>D.F ALTO</c:v>
                </c:pt>
                <c:pt idx="1">
                  <c:v>DURANGO ALTO</c:v>
                </c:pt>
                <c:pt idx="2">
                  <c:v>OAXACA ALTO</c:v>
                </c:pt>
                <c:pt idx="3">
                  <c:v>SONORA ALTO</c:v>
                </c:pt>
              </c:strCache>
            </c:strRef>
          </c:cat>
          <c:val>
            <c:numRef>
              <c:f>Hoja1!$H$2:$H$5</c:f>
              <c:numCache>
                <c:formatCode>General</c:formatCode>
                <c:ptCount val="4"/>
                <c:pt idx="0">
                  <c:v>3</c:v>
                </c:pt>
                <c:pt idx="1">
                  <c:v>3</c:v>
                </c:pt>
                <c:pt idx="2">
                  <c:v>3</c:v>
                </c:pt>
                <c:pt idx="3">
                  <c:v>3</c:v>
                </c:pt>
              </c:numCache>
            </c:numRef>
          </c:val>
        </c:ser>
        <c:ser>
          <c:idx val="7"/>
          <c:order val="6"/>
          <c:tx>
            <c:strRef>
              <c:f>Hoja1!$I$1</c:f>
              <c:strCache>
                <c:ptCount val="1"/>
                <c:pt idx="0">
                  <c:v>La fachada de la escuela </c:v>
                </c:pt>
              </c:strCache>
            </c:strRef>
          </c:tx>
          <c:spPr>
            <a:solidFill>
              <a:schemeClr val="accent2">
                <a:lumMod val="60000"/>
              </a:schemeClr>
            </a:solidFill>
            <a:ln>
              <a:noFill/>
            </a:ln>
            <a:effectLst/>
          </c:spPr>
          <c:invertIfNegative val="0"/>
          <c:cat>
            <c:strRef>
              <c:f>Hoja1!$A$2:$A$5</c:f>
              <c:strCache>
                <c:ptCount val="4"/>
                <c:pt idx="0">
                  <c:v>D.F ALTO</c:v>
                </c:pt>
                <c:pt idx="1">
                  <c:v>DURANGO ALTO</c:v>
                </c:pt>
                <c:pt idx="2">
                  <c:v>OAXACA ALTO</c:v>
                </c:pt>
                <c:pt idx="3">
                  <c:v>SONORA ALTO</c:v>
                </c:pt>
              </c:strCache>
            </c:strRef>
          </c:cat>
          <c:val>
            <c:numRef>
              <c:f>Hoja1!$I$2:$I$5</c:f>
              <c:numCache>
                <c:formatCode>General</c:formatCode>
                <c:ptCount val="4"/>
                <c:pt idx="0">
                  <c:v>4</c:v>
                </c:pt>
                <c:pt idx="1">
                  <c:v>2</c:v>
                </c:pt>
                <c:pt idx="2">
                  <c:v>3</c:v>
                </c:pt>
                <c:pt idx="3">
                  <c:v>3</c:v>
                </c:pt>
              </c:numCache>
            </c:numRef>
          </c:val>
        </c:ser>
        <c:dLbls>
          <c:showLegendKey val="0"/>
          <c:showVal val="0"/>
          <c:showCatName val="0"/>
          <c:showSerName val="0"/>
          <c:showPercent val="0"/>
          <c:showBubbleSize val="0"/>
        </c:dLbls>
        <c:gapWidth val="150"/>
        <c:axId val="-1493504576"/>
        <c:axId val="-1493513824"/>
      </c:barChart>
      <c:catAx>
        <c:axId val="-1493504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3513824"/>
        <c:crosses val="autoZero"/>
        <c:auto val="1"/>
        <c:lblAlgn val="ctr"/>
        <c:lblOffset val="100"/>
        <c:noMultiLvlLbl val="0"/>
      </c:catAx>
      <c:valAx>
        <c:axId val="-14935138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3504576"/>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00" b="1" baseline="0"/>
              <a:t>Gráfica 3. Infraestructura en escuela de BL</a:t>
            </a:r>
            <a:r>
              <a:rPr lang="es-MX" b="1" baseline="0"/>
              <a:t> </a:t>
            </a:r>
            <a:endParaRPr lang="es-MX" b="1"/>
          </a:p>
        </c:rich>
      </c:tx>
      <c:layout/>
      <c:overlay val="0"/>
      <c:spPr>
        <a:noFill/>
        <a:ln>
          <a:noFill/>
        </a:ln>
        <a:effectLst/>
      </c:spPr>
    </c:title>
    <c:autoTitleDeleted val="0"/>
    <c:plotArea>
      <c:layout/>
      <c:barChart>
        <c:barDir val="col"/>
        <c:grouping val="clustered"/>
        <c:varyColors val="0"/>
        <c:ser>
          <c:idx val="0"/>
          <c:order val="0"/>
          <c:tx>
            <c:strRef>
              <c:f>Hoja1!$B$1</c:f>
              <c:strCache>
                <c:ptCount val="1"/>
                <c:pt idx="0">
                  <c:v>cuenta con sala de maestros</c:v>
                </c:pt>
              </c:strCache>
            </c:strRef>
          </c:tx>
          <c:spPr>
            <a:solidFill>
              <a:schemeClr val="accent1"/>
            </a:solidFill>
            <a:ln>
              <a:noFill/>
            </a:ln>
            <a:effectLst/>
          </c:spPr>
          <c:invertIfNegative val="0"/>
          <c:cat>
            <c:strRef>
              <c:f>Hoja1!$A$2:$A$5</c:f>
              <c:strCache>
                <c:ptCount val="4"/>
                <c:pt idx="0">
                  <c:v>DF BAJO</c:v>
                </c:pt>
                <c:pt idx="1">
                  <c:v>DURANGO BAJO</c:v>
                </c:pt>
                <c:pt idx="2">
                  <c:v>OAXACA BAJO</c:v>
                </c:pt>
                <c:pt idx="3">
                  <c:v>SONORA BAJO</c:v>
                </c:pt>
              </c:strCache>
            </c:strRef>
          </c:cat>
          <c:val>
            <c:numRef>
              <c:f>Hoja1!$B$2:$B$5</c:f>
              <c:numCache>
                <c:formatCode>General</c:formatCode>
                <c:ptCount val="4"/>
                <c:pt idx="0">
                  <c:v>2</c:v>
                </c:pt>
                <c:pt idx="1">
                  <c:v>1</c:v>
                </c:pt>
                <c:pt idx="2">
                  <c:v>1</c:v>
                </c:pt>
                <c:pt idx="3">
                  <c:v>5</c:v>
                </c:pt>
              </c:numCache>
            </c:numRef>
          </c:val>
        </c:ser>
        <c:ser>
          <c:idx val="1"/>
          <c:order val="1"/>
          <c:tx>
            <c:strRef>
              <c:f>Hoja1!$C$1</c:f>
              <c:strCache>
                <c:ptCount val="1"/>
                <c:pt idx="0">
                  <c:v>cuenta con sala de reunion para el consejo academico </c:v>
                </c:pt>
              </c:strCache>
            </c:strRef>
          </c:tx>
          <c:spPr>
            <a:solidFill>
              <a:schemeClr val="accent2"/>
            </a:solidFill>
            <a:ln>
              <a:noFill/>
            </a:ln>
            <a:effectLst/>
          </c:spPr>
          <c:invertIfNegative val="0"/>
          <c:cat>
            <c:strRef>
              <c:f>Hoja1!$A$2:$A$5</c:f>
              <c:strCache>
                <c:ptCount val="4"/>
                <c:pt idx="0">
                  <c:v>DF BAJO</c:v>
                </c:pt>
                <c:pt idx="1">
                  <c:v>DURANGO BAJO</c:v>
                </c:pt>
                <c:pt idx="2">
                  <c:v>OAXACA BAJO</c:v>
                </c:pt>
                <c:pt idx="3">
                  <c:v>SONORA BAJO</c:v>
                </c:pt>
              </c:strCache>
            </c:strRef>
          </c:cat>
          <c:val>
            <c:numRef>
              <c:f>Hoja1!$C$2:$C$5</c:f>
              <c:numCache>
                <c:formatCode>General</c:formatCode>
                <c:ptCount val="4"/>
                <c:pt idx="0">
                  <c:v>3</c:v>
                </c:pt>
                <c:pt idx="1">
                  <c:v>1</c:v>
                </c:pt>
                <c:pt idx="2">
                  <c:v>3</c:v>
                </c:pt>
                <c:pt idx="3">
                  <c:v>4</c:v>
                </c:pt>
              </c:numCache>
            </c:numRef>
          </c:val>
        </c:ser>
        <c:ser>
          <c:idx val="2"/>
          <c:order val="2"/>
          <c:tx>
            <c:strRef>
              <c:f>Hoja1!$D$1</c:f>
              <c:strCache>
                <c:ptCount val="1"/>
                <c:pt idx="0">
                  <c:v>cuenta con rampas para discapacitados </c:v>
                </c:pt>
              </c:strCache>
            </c:strRef>
          </c:tx>
          <c:spPr>
            <a:solidFill>
              <a:schemeClr val="accent4"/>
            </a:solidFill>
            <a:ln>
              <a:noFill/>
            </a:ln>
            <a:effectLst/>
          </c:spPr>
          <c:invertIfNegative val="0"/>
          <c:cat>
            <c:strRef>
              <c:f>Hoja1!$A$2:$A$5</c:f>
              <c:strCache>
                <c:ptCount val="4"/>
                <c:pt idx="0">
                  <c:v>DF BAJO</c:v>
                </c:pt>
                <c:pt idx="1">
                  <c:v>DURANGO BAJO</c:v>
                </c:pt>
                <c:pt idx="2">
                  <c:v>OAXACA BAJO</c:v>
                </c:pt>
                <c:pt idx="3">
                  <c:v>SONORA BAJO</c:v>
                </c:pt>
              </c:strCache>
            </c:strRef>
          </c:cat>
          <c:val>
            <c:numRef>
              <c:f>Hoja1!$D$2:$D$5</c:f>
              <c:numCache>
                <c:formatCode>General</c:formatCode>
                <c:ptCount val="4"/>
                <c:pt idx="0">
                  <c:v>0</c:v>
                </c:pt>
                <c:pt idx="1">
                  <c:v>3</c:v>
                </c:pt>
                <c:pt idx="2">
                  <c:v>3</c:v>
                </c:pt>
                <c:pt idx="3">
                  <c:v>5</c:v>
                </c:pt>
              </c:numCache>
            </c:numRef>
          </c:val>
        </c:ser>
        <c:ser>
          <c:idx val="3"/>
          <c:order val="3"/>
          <c:tx>
            <c:strRef>
              <c:f>Hoja1!$E$1</c:f>
              <c:strCache>
                <c:ptCount val="1"/>
                <c:pt idx="0">
                  <c:v>cuenta con pizarrones suficientes</c:v>
                </c:pt>
              </c:strCache>
            </c:strRef>
          </c:tx>
          <c:spPr>
            <a:solidFill>
              <a:schemeClr val="accent5"/>
            </a:solidFill>
            <a:ln>
              <a:noFill/>
            </a:ln>
            <a:effectLst/>
          </c:spPr>
          <c:invertIfNegative val="0"/>
          <c:cat>
            <c:strRef>
              <c:f>Hoja1!$A$2:$A$5</c:f>
              <c:strCache>
                <c:ptCount val="4"/>
                <c:pt idx="0">
                  <c:v>DF BAJO</c:v>
                </c:pt>
                <c:pt idx="1">
                  <c:v>DURANGO BAJO</c:v>
                </c:pt>
                <c:pt idx="2">
                  <c:v>OAXACA BAJO</c:v>
                </c:pt>
                <c:pt idx="3">
                  <c:v>SONORA BAJO</c:v>
                </c:pt>
              </c:strCache>
            </c:strRef>
          </c:cat>
          <c:val>
            <c:numRef>
              <c:f>Hoja1!$E$2:$E$5</c:f>
              <c:numCache>
                <c:formatCode>General</c:formatCode>
                <c:ptCount val="4"/>
                <c:pt idx="0">
                  <c:v>3</c:v>
                </c:pt>
                <c:pt idx="1">
                  <c:v>4</c:v>
                </c:pt>
                <c:pt idx="2">
                  <c:v>6</c:v>
                </c:pt>
                <c:pt idx="3">
                  <c:v>4</c:v>
                </c:pt>
              </c:numCache>
            </c:numRef>
          </c:val>
        </c:ser>
        <c:ser>
          <c:idx val="4"/>
          <c:order val="4"/>
          <c:tx>
            <c:strRef>
              <c:f>Hoja1!$F$1</c:f>
              <c:strCache>
                <c:ptCount val="1"/>
                <c:pt idx="0">
                  <c:v>cuenta con aulas suficientes para la demanda de la matricula</c:v>
                </c:pt>
              </c:strCache>
            </c:strRef>
          </c:tx>
          <c:spPr>
            <a:solidFill>
              <a:schemeClr val="accent6"/>
            </a:solidFill>
            <a:ln>
              <a:noFill/>
            </a:ln>
            <a:effectLst/>
          </c:spPr>
          <c:invertIfNegative val="0"/>
          <c:cat>
            <c:strRef>
              <c:f>Hoja1!$A$2:$A$5</c:f>
              <c:strCache>
                <c:ptCount val="4"/>
                <c:pt idx="0">
                  <c:v>DF BAJO</c:v>
                </c:pt>
                <c:pt idx="1">
                  <c:v>DURANGO BAJO</c:v>
                </c:pt>
                <c:pt idx="2">
                  <c:v>OAXACA BAJO</c:v>
                </c:pt>
                <c:pt idx="3">
                  <c:v>SONORA BAJO</c:v>
                </c:pt>
              </c:strCache>
            </c:strRef>
          </c:cat>
          <c:val>
            <c:numRef>
              <c:f>Hoja1!$F$2:$F$5</c:f>
              <c:numCache>
                <c:formatCode>General</c:formatCode>
                <c:ptCount val="4"/>
                <c:pt idx="0">
                  <c:v>3</c:v>
                </c:pt>
                <c:pt idx="1">
                  <c:v>5</c:v>
                </c:pt>
                <c:pt idx="2">
                  <c:v>5</c:v>
                </c:pt>
                <c:pt idx="3">
                  <c:v>5</c:v>
                </c:pt>
              </c:numCache>
            </c:numRef>
          </c:val>
        </c:ser>
        <c:ser>
          <c:idx val="5"/>
          <c:order val="5"/>
          <c:tx>
            <c:strRef>
              <c:f>Hoja1!$G$1</c:f>
              <c:strCache>
                <c:ptCount val="1"/>
                <c:pt idx="0">
                  <c:v>cuenta con bancas suficientes para los alumnos </c:v>
                </c:pt>
              </c:strCache>
            </c:strRef>
          </c:tx>
          <c:spPr>
            <a:solidFill>
              <a:schemeClr val="accent1">
                <a:lumMod val="60000"/>
              </a:schemeClr>
            </a:solidFill>
            <a:ln>
              <a:noFill/>
            </a:ln>
            <a:effectLst/>
          </c:spPr>
          <c:invertIfNegative val="0"/>
          <c:cat>
            <c:strRef>
              <c:f>Hoja1!$A$2:$A$5</c:f>
              <c:strCache>
                <c:ptCount val="4"/>
                <c:pt idx="0">
                  <c:v>DF BAJO</c:v>
                </c:pt>
                <c:pt idx="1">
                  <c:v>DURANGO BAJO</c:v>
                </c:pt>
                <c:pt idx="2">
                  <c:v>OAXACA BAJO</c:v>
                </c:pt>
                <c:pt idx="3">
                  <c:v>SONORA BAJO</c:v>
                </c:pt>
              </c:strCache>
            </c:strRef>
          </c:cat>
          <c:val>
            <c:numRef>
              <c:f>Hoja1!$G$2:$G$5</c:f>
              <c:numCache>
                <c:formatCode>General</c:formatCode>
                <c:ptCount val="4"/>
                <c:pt idx="0">
                  <c:v>3</c:v>
                </c:pt>
                <c:pt idx="1">
                  <c:v>4</c:v>
                </c:pt>
                <c:pt idx="2">
                  <c:v>4</c:v>
                </c:pt>
                <c:pt idx="3">
                  <c:v>4</c:v>
                </c:pt>
              </c:numCache>
            </c:numRef>
          </c:val>
        </c:ser>
        <c:ser>
          <c:idx val="6"/>
          <c:order val="6"/>
          <c:tx>
            <c:strRef>
              <c:f>Hoja1!$H$1</c:f>
              <c:strCache>
                <c:ptCount val="1"/>
                <c:pt idx="0">
                  <c:v>La fachada de la escuela SI esta en buenas condiciones</c:v>
                </c:pt>
              </c:strCache>
            </c:strRef>
          </c:tx>
          <c:invertIfNegative val="0"/>
          <c:cat>
            <c:strRef>
              <c:f>Hoja1!$A$2:$A$5</c:f>
              <c:strCache>
                <c:ptCount val="4"/>
                <c:pt idx="0">
                  <c:v>DF BAJO</c:v>
                </c:pt>
                <c:pt idx="1">
                  <c:v>DURANGO BAJO</c:v>
                </c:pt>
                <c:pt idx="2">
                  <c:v>OAXACA BAJO</c:v>
                </c:pt>
                <c:pt idx="3">
                  <c:v>SONORA BAJO</c:v>
                </c:pt>
              </c:strCache>
            </c:strRef>
          </c:cat>
          <c:val>
            <c:numRef>
              <c:f>Hoja1!$H$2:$H$5</c:f>
              <c:numCache>
                <c:formatCode>General</c:formatCode>
                <c:ptCount val="4"/>
                <c:pt idx="0">
                  <c:v>0</c:v>
                </c:pt>
                <c:pt idx="1">
                  <c:v>3</c:v>
                </c:pt>
                <c:pt idx="2">
                  <c:v>5</c:v>
                </c:pt>
                <c:pt idx="3">
                  <c:v>5</c:v>
                </c:pt>
              </c:numCache>
            </c:numRef>
          </c:val>
        </c:ser>
        <c:ser>
          <c:idx val="7"/>
          <c:order val="7"/>
          <c:tx>
            <c:strRef>
              <c:f>Hoja1!$I$1</c:f>
              <c:strCache>
                <c:ptCount val="1"/>
                <c:pt idx="0">
                  <c:v>La escuela en general SI se ve en buenas condiciones</c:v>
                </c:pt>
              </c:strCache>
            </c:strRef>
          </c:tx>
          <c:invertIfNegative val="0"/>
          <c:cat>
            <c:strRef>
              <c:f>Hoja1!$A$2:$A$5</c:f>
              <c:strCache>
                <c:ptCount val="4"/>
                <c:pt idx="0">
                  <c:v>DF BAJO</c:v>
                </c:pt>
                <c:pt idx="1">
                  <c:v>DURANGO BAJO</c:v>
                </c:pt>
                <c:pt idx="2">
                  <c:v>OAXACA BAJO</c:v>
                </c:pt>
                <c:pt idx="3">
                  <c:v>SONORA BAJO</c:v>
                </c:pt>
              </c:strCache>
            </c:strRef>
          </c:cat>
          <c:val>
            <c:numRef>
              <c:f>Hoja1!$I$2:$I$5</c:f>
              <c:numCache>
                <c:formatCode>General</c:formatCode>
                <c:ptCount val="4"/>
                <c:pt idx="0">
                  <c:v>2</c:v>
                </c:pt>
                <c:pt idx="1">
                  <c:v>4</c:v>
                </c:pt>
                <c:pt idx="2">
                  <c:v>5</c:v>
                </c:pt>
                <c:pt idx="3">
                  <c:v>5</c:v>
                </c:pt>
              </c:numCache>
            </c:numRef>
          </c:val>
        </c:ser>
        <c:dLbls>
          <c:showLegendKey val="0"/>
          <c:showVal val="0"/>
          <c:showCatName val="0"/>
          <c:showSerName val="0"/>
          <c:showPercent val="0"/>
          <c:showBubbleSize val="0"/>
        </c:dLbls>
        <c:gapWidth val="150"/>
        <c:axId val="-1493514912"/>
        <c:axId val="-1493507840"/>
      </c:barChart>
      <c:catAx>
        <c:axId val="-1493514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3507840"/>
        <c:crosses val="autoZero"/>
        <c:auto val="1"/>
        <c:lblAlgn val="ctr"/>
        <c:lblOffset val="100"/>
        <c:noMultiLvlLbl val="0"/>
      </c:catAx>
      <c:valAx>
        <c:axId val="-1493507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9351491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00" b="1"/>
              <a:t>Gráfica</a:t>
            </a:r>
            <a:r>
              <a:rPr lang="es-MX" sz="1000" b="1" baseline="0"/>
              <a:t> 4. Infraestructura escuelas particulares y públicas</a:t>
            </a:r>
            <a:r>
              <a:rPr lang="es-MX" sz="1000" b="1"/>
              <a:t> de AL</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Cuenta con sala de maestros</c:v>
                </c:pt>
              </c:strCache>
            </c:strRef>
          </c:tx>
          <c:spPr>
            <a:solidFill>
              <a:schemeClr val="accent1"/>
            </a:solidFill>
            <a:ln>
              <a:noFill/>
            </a:ln>
            <a:effectLst/>
          </c:spPr>
          <c:invertIfNegative val="0"/>
          <c:cat>
            <c:strRef>
              <c:f>Hoja1!$A$2:$A$3</c:f>
              <c:strCache>
                <c:ptCount val="2"/>
                <c:pt idx="0">
                  <c:v>Particular</c:v>
                </c:pt>
                <c:pt idx="1">
                  <c:v>Oficial</c:v>
                </c:pt>
              </c:strCache>
            </c:strRef>
          </c:cat>
          <c:val>
            <c:numRef>
              <c:f>Hoja1!$B$2:$B$3</c:f>
              <c:numCache>
                <c:formatCode>General</c:formatCode>
                <c:ptCount val="2"/>
                <c:pt idx="0">
                  <c:v>4</c:v>
                </c:pt>
                <c:pt idx="1">
                  <c:v>3</c:v>
                </c:pt>
              </c:numCache>
            </c:numRef>
          </c:val>
        </c:ser>
        <c:ser>
          <c:idx val="1"/>
          <c:order val="1"/>
          <c:tx>
            <c:strRef>
              <c:f>Hoja1!$C$1</c:f>
              <c:strCache>
                <c:ptCount val="1"/>
                <c:pt idx="0">
                  <c:v>Cuenta con sala de reunión para el consejo académico</c:v>
                </c:pt>
              </c:strCache>
            </c:strRef>
          </c:tx>
          <c:spPr>
            <a:solidFill>
              <a:schemeClr val="accent2"/>
            </a:solidFill>
            <a:ln>
              <a:noFill/>
            </a:ln>
            <a:effectLst/>
          </c:spPr>
          <c:invertIfNegative val="0"/>
          <c:cat>
            <c:strRef>
              <c:f>Hoja1!$A$2:$A$3</c:f>
              <c:strCache>
                <c:ptCount val="2"/>
                <c:pt idx="0">
                  <c:v>Particular</c:v>
                </c:pt>
                <c:pt idx="1">
                  <c:v>Oficial</c:v>
                </c:pt>
              </c:strCache>
            </c:strRef>
          </c:cat>
          <c:val>
            <c:numRef>
              <c:f>Hoja1!$C$2:$C$3</c:f>
              <c:numCache>
                <c:formatCode>General</c:formatCode>
                <c:ptCount val="2"/>
                <c:pt idx="0">
                  <c:v>3</c:v>
                </c:pt>
                <c:pt idx="1">
                  <c:v>3</c:v>
                </c:pt>
              </c:numCache>
            </c:numRef>
          </c:val>
        </c:ser>
        <c:ser>
          <c:idx val="2"/>
          <c:order val="2"/>
          <c:tx>
            <c:strRef>
              <c:f>Hoja1!$D$1</c:f>
              <c:strCache>
                <c:ptCount val="1"/>
                <c:pt idx="0">
                  <c:v>Cuenta con pizarrones suficientes</c:v>
                </c:pt>
              </c:strCache>
            </c:strRef>
          </c:tx>
          <c:spPr>
            <a:solidFill>
              <a:schemeClr val="accent3"/>
            </a:solidFill>
            <a:ln>
              <a:noFill/>
            </a:ln>
            <a:effectLst/>
          </c:spPr>
          <c:invertIfNegative val="0"/>
          <c:cat>
            <c:strRef>
              <c:f>Hoja1!$A$2:$A$3</c:f>
              <c:strCache>
                <c:ptCount val="2"/>
                <c:pt idx="0">
                  <c:v>Particular</c:v>
                </c:pt>
                <c:pt idx="1">
                  <c:v>Oficial</c:v>
                </c:pt>
              </c:strCache>
            </c:strRef>
          </c:cat>
          <c:val>
            <c:numRef>
              <c:f>Hoja1!$D$2:$D$3</c:f>
              <c:numCache>
                <c:formatCode>General</c:formatCode>
                <c:ptCount val="2"/>
                <c:pt idx="0">
                  <c:v>4</c:v>
                </c:pt>
                <c:pt idx="1">
                  <c:v>4</c:v>
                </c:pt>
              </c:numCache>
            </c:numRef>
          </c:val>
        </c:ser>
        <c:ser>
          <c:idx val="3"/>
          <c:order val="3"/>
          <c:tx>
            <c:strRef>
              <c:f>Hoja1!$E$1</c:f>
              <c:strCache>
                <c:ptCount val="1"/>
                <c:pt idx="0">
                  <c:v>Aulas suficientes para la demanda de la matricula</c:v>
                </c:pt>
              </c:strCache>
            </c:strRef>
          </c:tx>
          <c:spPr>
            <a:solidFill>
              <a:schemeClr val="accent4"/>
            </a:solidFill>
            <a:ln>
              <a:noFill/>
            </a:ln>
            <a:effectLst/>
          </c:spPr>
          <c:invertIfNegative val="0"/>
          <c:cat>
            <c:strRef>
              <c:f>Hoja1!$A$2:$A$3</c:f>
              <c:strCache>
                <c:ptCount val="2"/>
                <c:pt idx="0">
                  <c:v>Particular</c:v>
                </c:pt>
                <c:pt idx="1">
                  <c:v>Oficial</c:v>
                </c:pt>
              </c:strCache>
            </c:strRef>
          </c:cat>
          <c:val>
            <c:numRef>
              <c:f>Hoja1!$E$2:$E$3</c:f>
              <c:numCache>
                <c:formatCode>General</c:formatCode>
                <c:ptCount val="2"/>
                <c:pt idx="0">
                  <c:v>4</c:v>
                </c:pt>
                <c:pt idx="1">
                  <c:v>3</c:v>
                </c:pt>
              </c:numCache>
            </c:numRef>
          </c:val>
        </c:ser>
        <c:ser>
          <c:idx val="4"/>
          <c:order val="4"/>
          <c:tx>
            <c:strRef>
              <c:f>Hoja1!$F$1</c:f>
              <c:strCache>
                <c:ptCount val="1"/>
                <c:pt idx="0">
                  <c:v>bancas suficientes</c:v>
                </c:pt>
              </c:strCache>
            </c:strRef>
          </c:tx>
          <c:spPr>
            <a:solidFill>
              <a:schemeClr val="accent5"/>
            </a:solidFill>
            <a:ln>
              <a:noFill/>
            </a:ln>
            <a:effectLst/>
          </c:spPr>
          <c:invertIfNegative val="0"/>
          <c:cat>
            <c:strRef>
              <c:f>Hoja1!$A$2:$A$3</c:f>
              <c:strCache>
                <c:ptCount val="2"/>
                <c:pt idx="0">
                  <c:v>Particular</c:v>
                </c:pt>
                <c:pt idx="1">
                  <c:v>Oficial</c:v>
                </c:pt>
              </c:strCache>
            </c:strRef>
          </c:cat>
          <c:val>
            <c:numRef>
              <c:f>Hoja1!$F$2:$F$3</c:f>
              <c:numCache>
                <c:formatCode>General</c:formatCode>
                <c:ptCount val="2"/>
                <c:pt idx="0">
                  <c:v>4</c:v>
                </c:pt>
                <c:pt idx="1">
                  <c:v>4</c:v>
                </c:pt>
              </c:numCache>
            </c:numRef>
          </c:val>
        </c:ser>
        <c:ser>
          <c:idx val="5"/>
          <c:order val="5"/>
          <c:tx>
            <c:strRef>
              <c:f>Hoja1!$G$1</c:f>
              <c:strCache>
                <c:ptCount val="1"/>
                <c:pt idx="0">
                  <c:v>Rampas para discapacitados</c:v>
                </c:pt>
              </c:strCache>
            </c:strRef>
          </c:tx>
          <c:spPr>
            <a:solidFill>
              <a:schemeClr val="accent6"/>
            </a:solidFill>
            <a:ln>
              <a:noFill/>
            </a:ln>
            <a:effectLst/>
          </c:spPr>
          <c:invertIfNegative val="0"/>
          <c:cat>
            <c:strRef>
              <c:f>Hoja1!$A$2:$A$3</c:f>
              <c:strCache>
                <c:ptCount val="2"/>
                <c:pt idx="0">
                  <c:v>Particular</c:v>
                </c:pt>
                <c:pt idx="1">
                  <c:v>Oficial</c:v>
                </c:pt>
              </c:strCache>
            </c:strRef>
          </c:cat>
          <c:val>
            <c:numRef>
              <c:f>Hoja1!$G$2:$G$3</c:f>
              <c:numCache>
                <c:formatCode>General</c:formatCode>
                <c:ptCount val="2"/>
                <c:pt idx="0">
                  <c:v>2</c:v>
                </c:pt>
                <c:pt idx="1">
                  <c:v>3</c:v>
                </c:pt>
              </c:numCache>
            </c:numRef>
          </c:val>
        </c:ser>
        <c:ser>
          <c:idx val="6"/>
          <c:order val="6"/>
          <c:tx>
            <c:strRef>
              <c:f>Hoja1!$H$1</c:f>
              <c:strCache>
                <c:ptCount val="1"/>
                <c:pt idx="0">
                  <c:v>La fachada de la escuela esta en buenas condiciones</c:v>
                </c:pt>
              </c:strCache>
            </c:strRef>
          </c:tx>
          <c:spPr>
            <a:solidFill>
              <a:schemeClr val="accent1">
                <a:lumMod val="60000"/>
              </a:schemeClr>
            </a:solidFill>
            <a:ln>
              <a:noFill/>
            </a:ln>
            <a:effectLst/>
          </c:spPr>
          <c:invertIfNegative val="0"/>
          <c:cat>
            <c:strRef>
              <c:f>Hoja1!$A$2:$A$3</c:f>
              <c:strCache>
                <c:ptCount val="2"/>
                <c:pt idx="0">
                  <c:v>Particular</c:v>
                </c:pt>
                <c:pt idx="1">
                  <c:v>Oficial</c:v>
                </c:pt>
              </c:strCache>
            </c:strRef>
          </c:cat>
          <c:val>
            <c:numRef>
              <c:f>Hoja1!$H$2:$H$3</c:f>
              <c:numCache>
                <c:formatCode>General</c:formatCode>
                <c:ptCount val="2"/>
                <c:pt idx="0">
                  <c:v>4</c:v>
                </c:pt>
                <c:pt idx="1">
                  <c:v>4</c:v>
                </c:pt>
              </c:numCache>
            </c:numRef>
          </c:val>
        </c:ser>
        <c:ser>
          <c:idx val="7"/>
          <c:order val="7"/>
          <c:tx>
            <c:strRef>
              <c:f>Hoja1!$I$1</c:f>
              <c:strCache>
                <c:ptCount val="1"/>
                <c:pt idx="0">
                  <c:v>La escuela en general se ve en buenas condiciones</c:v>
                </c:pt>
              </c:strCache>
            </c:strRef>
          </c:tx>
          <c:spPr>
            <a:solidFill>
              <a:schemeClr val="accent2">
                <a:lumMod val="60000"/>
              </a:schemeClr>
            </a:solidFill>
            <a:ln>
              <a:noFill/>
            </a:ln>
            <a:effectLst/>
          </c:spPr>
          <c:invertIfNegative val="0"/>
          <c:cat>
            <c:strRef>
              <c:f>Hoja1!$A$2:$A$3</c:f>
              <c:strCache>
                <c:ptCount val="2"/>
                <c:pt idx="0">
                  <c:v>Particular</c:v>
                </c:pt>
                <c:pt idx="1">
                  <c:v>Oficial</c:v>
                </c:pt>
              </c:strCache>
            </c:strRef>
          </c:cat>
          <c:val>
            <c:numRef>
              <c:f>Hoja1!$I$2:$I$3</c:f>
              <c:numCache>
                <c:formatCode>General</c:formatCode>
                <c:ptCount val="2"/>
                <c:pt idx="0">
                  <c:v>4</c:v>
                </c:pt>
                <c:pt idx="1">
                  <c:v>4</c:v>
                </c:pt>
              </c:numCache>
            </c:numRef>
          </c:val>
        </c:ser>
        <c:dLbls>
          <c:showLegendKey val="0"/>
          <c:showVal val="0"/>
          <c:showCatName val="0"/>
          <c:showSerName val="0"/>
          <c:showPercent val="0"/>
          <c:showBubbleSize val="0"/>
        </c:dLbls>
        <c:gapWidth val="150"/>
        <c:axId val="-1419227776"/>
        <c:axId val="-1419216352"/>
      </c:barChart>
      <c:catAx>
        <c:axId val="-1419227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9216352"/>
        <c:crosses val="autoZero"/>
        <c:auto val="1"/>
        <c:lblAlgn val="ctr"/>
        <c:lblOffset val="100"/>
        <c:noMultiLvlLbl val="0"/>
      </c:catAx>
      <c:valAx>
        <c:axId val="-1419216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9227776"/>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00" b="1"/>
              <a:t>Gráfica</a:t>
            </a:r>
            <a:r>
              <a:rPr lang="es-MX" sz="1000" b="1" baseline="0"/>
              <a:t> 5. Instalaciones de escuelas pariticulares y públicas de</a:t>
            </a:r>
            <a:r>
              <a:rPr lang="es-MX" sz="1000" b="1"/>
              <a:t> AL</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 Bibioteca</c:v>
                </c:pt>
              </c:strCache>
            </c:strRef>
          </c:tx>
          <c:spPr>
            <a:solidFill>
              <a:schemeClr val="accent1"/>
            </a:solidFill>
            <a:ln>
              <a:noFill/>
            </a:ln>
            <a:effectLst/>
          </c:spPr>
          <c:invertIfNegative val="0"/>
          <c:cat>
            <c:strRef>
              <c:f>Hoja1!$A$2:$A$3</c:f>
              <c:strCache>
                <c:ptCount val="2"/>
                <c:pt idx="0">
                  <c:v>Particular</c:v>
                </c:pt>
                <c:pt idx="1">
                  <c:v>Oficial</c:v>
                </c:pt>
              </c:strCache>
            </c:strRef>
          </c:cat>
          <c:val>
            <c:numRef>
              <c:f>Hoja1!$B$2:$B$3</c:f>
              <c:numCache>
                <c:formatCode>General</c:formatCode>
                <c:ptCount val="2"/>
                <c:pt idx="0">
                  <c:v>4</c:v>
                </c:pt>
                <c:pt idx="1">
                  <c:v>4</c:v>
                </c:pt>
              </c:numCache>
            </c:numRef>
          </c:val>
        </c:ser>
        <c:ser>
          <c:idx val="1"/>
          <c:order val="1"/>
          <c:tx>
            <c:strRef>
              <c:f>Hoja1!$C$1</c:f>
              <c:strCache>
                <c:ptCount val="1"/>
                <c:pt idx="0">
                  <c:v>Auditorio </c:v>
                </c:pt>
              </c:strCache>
            </c:strRef>
          </c:tx>
          <c:spPr>
            <a:solidFill>
              <a:schemeClr val="accent2"/>
            </a:solidFill>
            <a:ln>
              <a:noFill/>
            </a:ln>
            <a:effectLst/>
          </c:spPr>
          <c:invertIfNegative val="0"/>
          <c:cat>
            <c:strRef>
              <c:f>Hoja1!$A$2:$A$3</c:f>
              <c:strCache>
                <c:ptCount val="2"/>
                <c:pt idx="0">
                  <c:v>Particular</c:v>
                </c:pt>
                <c:pt idx="1">
                  <c:v>Oficial</c:v>
                </c:pt>
              </c:strCache>
            </c:strRef>
          </c:cat>
          <c:val>
            <c:numRef>
              <c:f>Hoja1!$C$2:$C$3</c:f>
              <c:numCache>
                <c:formatCode>General</c:formatCode>
                <c:ptCount val="2"/>
                <c:pt idx="0">
                  <c:v>1</c:v>
                </c:pt>
                <c:pt idx="1">
                  <c:v>4</c:v>
                </c:pt>
              </c:numCache>
            </c:numRef>
          </c:val>
        </c:ser>
        <c:ser>
          <c:idx val="2"/>
          <c:order val="2"/>
          <c:tx>
            <c:strRef>
              <c:f>Hoja1!$D$1</c:f>
              <c:strCache>
                <c:ptCount val="1"/>
                <c:pt idx="0">
                  <c:v>Cooperativa</c:v>
                </c:pt>
              </c:strCache>
            </c:strRef>
          </c:tx>
          <c:spPr>
            <a:solidFill>
              <a:schemeClr val="accent3"/>
            </a:solidFill>
            <a:ln>
              <a:noFill/>
            </a:ln>
            <a:effectLst/>
          </c:spPr>
          <c:invertIfNegative val="0"/>
          <c:cat>
            <c:strRef>
              <c:f>Hoja1!$A$2:$A$3</c:f>
              <c:strCache>
                <c:ptCount val="2"/>
                <c:pt idx="0">
                  <c:v>Particular</c:v>
                </c:pt>
                <c:pt idx="1">
                  <c:v>Oficial</c:v>
                </c:pt>
              </c:strCache>
            </c:strRef>
          </c:cat>
          <c:val>
            <c:numRef>
              <c:f>Hoja1!$D$2:$D$3</c:f>
              <c:numCache>
                <c:formatCode>General</c:formatCode>
                <c:ptCount val="2"/>
                <c:pt idx="0">
                  <c:v>2</c:v>
                </c:pt>
                <c:pt idx="1">
                  <c:v>4</c:v>
                </c:pt>
              </c:numCache>
            </c:numRef>
          </c:val>
        </c:ser>
        <c:ser>
          <c:idx val="3"/>
          <c:order val="3"/>
          <c:tx>
            <c:strRef>
              <c:f>Hoja1!$E$1</c:f>
              <c:strCache>
                <c:ptCount val="1"/>
                <c:pt idx="0">
                  <c:v>Jardineras</c:v>
                </c:pt>
              </c:strCache>
            </c:strRef>
          </c:tx>
          <c:spPr>
            <a:solidFill>
              <a:schemeClr val="accent4"/>
            </a:solidFill>
            <a:ln>
              <a:noFill/>
            </a:ln>
            <a:effectLst/>
          </c:spPr>
          <c:invertIfNegative val="0"/>
          <c:cat>
            <c:strRef>
              <c:f>Hoja1!$A$2:$A$3</c:f>
              <c:strCache>
                <c:ptCount val="2"/>
                <c:pt idx="0">
                  <c:v>Particular</c:v>
                </c:pt>
                <c:pt idx="1">
                  <c:v>Oficial</c:v>
                </c:pt>
              </c:strCache>
            </c:strRef>
          </c:cat>
          <c:val>
            <c:numRef>
              <c:f>Hoja1!$E$2:$E$3</c:f>
              <c:numCache>
                <c:formatCode>General</c:formatCode>
                <c:ptCount val="2"/>
                <c:pt idx="0">
                  <c:v>4</c:v>
                </c:pt>
                <c:pt idx="1">
                  <c:v>4</c:v>
                </c:pt>
              </c:numCache>
            </c:numRef>
          </c:val>
        </c:ser>
        <c:ser>
          <c:idx val="4"/>
          <c:order val="4"/>
          <c:tx>
            <c:strRef>
              <c:f>Hoja1!$F$1</c:f>
              <c:strCache>
                <c:ptCount val="1"/>
                <c:pt idx="0">
                  <c:v>Laboratorios </c:v>
                </c:pt>
              </c:strCache>
            </c:strRef>
          </c:tx>
          <c:spPr>
            <a:solidFill>
              <a:schemeClr val="accent5"/>
            </a:solidFill>
            <a:ln>
              <a:noFill/>
            </a:ln>
            <a:effectLst/>
          </c:spPr>
          <c:invertIfNegative val="0"/>
          <c:cat>
            <c:strRef>
              <c:f>Hoja1!$A$2:$A$3</c:f>
              <c:strCache>
                <c:ptCount val="2"/>
                <c:pt idx="0">
                  <c:v>Particular</c:v>
                </c:pt>
                <c:pt idx="1">
                  <c:v>Oficial</c:v>
                </c:pt>
              </c:strCache>
            </c:strRef>
          </c:cat>
          <c:val>
            <c:numRef>
              <c:f>Hoja1!$F$2:$F$3</c:f>
              <c:numCache>
                <c:formatCode>General</c:formatCode>
                <c:ptCount val="2"/>
                <c:pt idx="0">
                  <c:v>4</c:v>
                </c:pt>
                <c:pt idx="1">
                  <c:v>4</c:v>
                </c:pt>
              </c:numCache>
            </c:numRef>
          </c:val>
        </c:ser>
        <c:ser>
          <c:idx val="5"/>
          <c:order val="5"/>
          <c:tx>
            <c:strRef>
              <c:f>Hoja1!$G$1</c:f>
              <c:strCache>
                <c:ptCount val="1"/>
                <c:pt idx="0">
                  <c:v>Canchas de Futbol</c:v>
                </c:pt>
              </c:strCache>
            </c:strRef>
          </c:tx>
          <c:spPr>
            <a:solidFill>
              <a:schemeClr val="accent6"/>
            </a:solidFill>
            <a:ln>
              <a:noFill/>
            </a:ln>
            <a:effectLst/>
          </c:spPr>
          <c:invertIfNegative val="0"/>
          <c:cat>
            <c:strRef>
              <c:f>Hoja1!$A$2:$A$3</c:f>
              <c:strCache>
                <c:ptCount val="2"/>
                <c:pt idx="0">
                  <c:v>Particular</c:v>
                </c:pt>
                <c:pt idx="1">
                  <c:v>Oficial</c:v>
                </c:pt>
              </c:strCache>
            </c:strRef>
          </c:cat>
          <c:val>
            <c:numRef>
              <c:f>Hoja1!$G$2:$G$3</c:f>
              <c:numCache>
                <c:formatCode>General</c:formatCode>
                <c:ptCount val="2"/>
                <c:pt idx="0">
                  <c:v>4</c:v>
                </c:pt>
                <c:pt idx="1">
                  <c:v>1</c:v>
                </c:pt>
              </c:numCache>
            </c:numRef>
          </c:val>
        </c:ser>
        <c:ser>
          <c:idx val="6"/>
          <c:order val="6"/>
          <c:tx>
            <c:strRef>
              <c:f>Hoja1!$H$1</c:f>
              <c:strCache>
                <c:ptCount val="1"/>
                <c:pt idx="0">
                  <c:v>Canchas de Basquetball</c:v>
                </c:pt>
              </c:strCache>
            </c:strRef>
          </c:tx>
          <c:spPr>
            <a:solidFill>
              <a:schemeClr val="accent1">
                <a:lumMod val="60000"/>
              </a:schemeClr>
            </a:solidFill>
            <a:ln>
              <a:noFill/>
            </a:ln>
            <a:effectLst/>
          </c:spPr>
          <c:invertIfNegative val="0"/>
          <c:cat>
            <c:strRef>
              <c:f>Hoja1!$A$2:$A$3</c:f>
              <c:strCache>
                <c:ptCount val="2"/>
                <c:pt idx="0">
                  <c:v>Particular</c:v>
                </c:pt>
                <c:pt idx="1">
                  <c:v>Oficial</c:v>
                </c:pt>
              </c:strCache>
            </c:strRef>
          </c:cat>
          <c:val>
            <c:numRef>
              <c:f>Hoja1!$H$2:$H$3</c:f>
              <c:numCache>
                <c:formatCode>General</c:formatCode>
                <c:ptCount val="2"/>
                <c:pt idx="0">
                  <c:v>3</c:v>
                </c:pt>
                <c:pt idx="1">
                  <c:v>3</c:v>
                </c:pt>
              </c:numCache>
            </c:numRef>
          </c:val>
        </c:ser>
        <c:ser>
          <c:idx val="7"/>
          <c:order val="7"/>
          <c:tx>
            <c:strRef>
              <c:f>Hoja1!$I$1</c:f>
              <c:strCache>
                <c:ptCount val="1"/>
                <c:pt idx="0">
                  <c:v>Canchas de Voleibol</c:v>
                </c:pt>
              </c:strCache>
            </c:strRef>
          </c:tx>
          <c:spPr>
            <a:solidFill>
              <a:schemeClr val="accent2">
                <a:lumMod val="60000"/>
              </a:schemeClr>
            </a:solidFill>
            <a:ln>
              <a:noFill/>
            </a:ln>
            <a:effectLst/>
          </c:spPr>
          <c:invertIfNegative val="0"/>
          <c:cat>
            <c:strRef>
              <c:f>Hoja1!$A$2:$A$3</c:f>
              <c:strCache>
                <c:ptCount val="2"/>
                <c:pt idx="0">
                  <c:v>Particular</c:v>
                </c:pt>
                <c:pt idx="1">
                  <c:v>Oficial</c:v>
                </c:pt>
              </c:strCache>
            </c:strRef>
          </c:cat>
          <c:val>
            <c:numRef>
              <c:f>Hoja1!$I$2:$I$3</c:f>
              <c:numCache>
                <c:formatCode>General</c:formatCode>
                <c:ptCount val="2"/>
                <c:pt idx="0">
                  <c:v>3</c:v>
                </c:pt>
                <c:pt idx="1">
                  <c:v>3</c:v>
                </c:pt>
              </c:numCache>
            </c:numRef>
          </c:val>
        </c:ser>
        <c:dLbls>
          <c:showLegendKey val="0"/>
          <c:showVal val="0"/>
          <c:showCatName val="0"/>
          <c:showSerName val="0"/>
          <c:showPercent val="0"/>
          <c:showBubbleSize val="0"/>
        </c:dLbls>
        <c:gapWidth val="150"/>
        <c:axId val="-1419217440"/>
        <c:axId val="-1419216896"/>
      </c:barChart>
      <c:catAx>
        <c:axId val="-1419217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9216896"/>
        <c:crosses val="autoZero"/>
        <c:auto val="1"/>
        <c:lblAlgn val="ctr"/>
        <c:lblOffset val="100"/>
        <c:noMultiLvlLbl val="0"/>
      </c:catAx>
      <c:valAx>
        <c:axId val="-1419216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9217440"/>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00" b="1" baseline="0"/>
              <a:t>Gráfica 6. Servicios de las escuelas particulares y públicas de AL</a:t>
            </a:r>
            <a:endParaRPr lang="es-MX" sz="1000" b="1"/>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Cafeteria </c:v>
                </c:pt>
              </c:strCache>
            </c:strRef>
          </c:tx>
          <c:spPr>
            <a:solidFill>
              <a:schemeClr val="accent1"/>
            </a:solidFill>
            <a:ln>
              <a:noFill/>
            </a:ln>
            <a:effectLst/>
          </c:spPr>
          <c:invertIfNegative val="0"/>
          <c:cat>
            <c:strRef>
              <c:f>Hoja1!$A$2:$A$3</c:f>
              <c:strCache>
                <c:ptCount val="2"/>
                <c:pt idx="0">
                  <c:v>Particular</c:v>
                </c:pt>
                <c:pt idx="1">
                  <c:v>Oficial</c:v>
                </c:pt>
              </c:strCache>
            </c:strRef>
          </c:cat>
          <c:val>
            <c:numRef>
              <c:f>Hoja1!$B$2:$B$3</c:f>
              <c:numCache>
                <c:formatCode>General</c:formatCode>
                <c:ptCount val="2"/>
                <c:pt idx="0">
                  <c:v>2</c:v>
                </c:pt>
                <c:pt idx="1">
                  <c:v>1</c:v>
                </c:pt>
              </c:numCache>
            </c:numRef>
          </c:val>
        </c:ser>
        <c:ser>
          <c:idx val="1"/>
          <c:order val="1"/>
          <c:tx>
            <c:strRef>
              <c:f>Hoja1!$C$1</c:f>
              <c:strCache>
                <c:ptCount val="1"/>
                <c:pt idx="0">
                  <c:v>Comedor</c:v>
                </c:pt>
              </c:strCache>
            </c:strRef>
          </c:tx>
          <c:spPr>
            <a:solidFill>
              <a:schemeClr val="accent2"/>
            </a:solidFill>
            <a:ln>
              <a:noFill/>
            </a:ln>
            <a:effectLst/>
          </c:spPr>
          <c:invertIfNegative val="0"/>
          <c:cat>
            <c:strRef>
              <c:f>Hoja1!$A$2:$A$3</c:f>
              <c:strCache>
                <c:ptCount val="2"/>
                <c:pt idx="0">
                  <c:v>Particular</c:v>
                </c:pt>
                <c:pt idx="1">
                  <c:v>Oficial</c:v>
                </c:pt>
              </c:strCache>
            </c:strRef>
          </c:cat>
          <c:val>
            <c:numRef>
              <c:f>Hoja1!$C$2:$C$3</c:f>
              <c:numCache>
                <c:formatCode>General</c:formatCode>
                <c:ptCount val="2"/>
                <c:pt idx="0">
                  <c:v>2</c:v>
                </c:pt>
                <c:pt idx="1">
                  <c:v>1</c:v>
                </c:pt>
              </c:numCache>
            </c:numRef>
          </c:val>
        </c:ser>
        <c:ser>
          <c:idx val="2"/>
          <c:order val="2"/>
          <c:tx>
            <c:strRef>
              <c:f>Hoja1!$D$1</c:f>
              <c:strCache>
                <c:ptCount val="1"/>
                <c:pt idx="0">
                  <c:v>Acceso a Internet</c:v>
                </c:pt>
              </c:strCache>
            </c:strRef>
          </c:tx>
          <c:spPr>
            <a:solidFill>
              <a:schemeClr val="accent3"/>
            </a:solidFill>
            <a:ln>
              <a:noFill/>
            </a:ln>
            <a:effectLst/>
          </c:spPr>
          <c:invertIfNegative val="0"/>
          <c:cat>
            <c:strRef>
              <c:f>Hoja1!$A$2:$A$3</c:f>
              <c:strCache>
                <c:ptCount val="2"/>
                <c:pt idx="0">
                  <c:v>Particular</c:v>
                </c:pt>
                <c:pt idx="1">
                  <c:v>Oficial</c:v>
                </c:pt>
              </c:strCache>
            </c:strRef>
          </c:cat>
          <c:val>
            <c:numRef>
              <c:f>Hoja1!$D$2:$D$3</c:f>
              <c:numCache>
                <c:formatCode>General</c:formatCode>
                <c:ptCount val="2"/>
                <c:pt idx="0">
                  <c:v>4</c:v>
                </c:pt>
                <c:pt idx="1">
                  <c:v>4</c:v>
                </c:pt>
              </c:numCache>
            </c:numRef>
          </c:val>
        </c:ser>
        <c:ser>
          <c:idx val="3"/>
          <c:order val="3"/>
          <c:tx>
            <c:strRef>
              <c:f>Hoja1!$E$1</c:f>
              <c:strCache>
                <c:ptCount val="1"/>
                <c:pt idx="0">
                  <c:v>Teléfono</c:v>
                </c:pt>
              </c:strCache>
            </c:strRef>
          </c:tx>
          <c:spPr>
            <a:solidFill>
              <a:schemeClr val="accent4"/>
            </a:solidFill>
            <a:ln>
              <a:noFill/>
            </a:ln>
            <a:effectLst/>
          </c:spPr>
          <c:invertIfNegative val="0"/>
          <c:cat>
            <c:strRef>
              <c:f>Hoja1!$A$2:$A$3</c:f>
              <c:strCache>
                <c:ptCount val="2"/>
                <c:pt idx="0">
                  <c:v>Particular</c:v>
                </c:pt>
                <c:pt idx="1">
                  <c:v>Oficial</c:v>
                </c:pt>
              </c:strCache>
            </c:strRef>
          </c:cat>
          <c:val>
            <c:numRef>
              <c:f>Hoja1!$E$2:$E$3</c:f>
              <c:numCache>
                <c:formatCode>General</c:formatCode>
                <c:ptCount val="2"/>
                <c:pt idx="0">
                  <c:v>4</c:v>
                </c:pt>
                <c:pt idx="1">
                  <c:v>4</c:v>
                </c:pt>
              </c:numCache>
            </c:numRef>
          </c:val>
        </c:ser>
        <c:ser>
          <c:idx val="4"/>
          <c:order val="4"/>
          <c:tx>
            <c:strRef>
              <c:f>Hoja1!$F$1</c:f>
              <c:strCache>
                <c:ptCount val="1"/>
                <c:pt idx="0">
                  <c:v>Television</c:v>
                </c:pt>
              </c:strCache>
            </c:strRef>
          </c:tx>
          <c:spPr>
            <a:solidFill>
              <a:schemeClr val="accent5"/>
            </a:solidFill>
            <a:ln>
              <a:noFill/>
            </a:ln>
            <a:effectLst/>
          </c:spPr>
          <c:invertIfNegative val="0"/>
          <c:cat>
            <c:strRef>
              <c:f>Hoja1!$A$2:$A$3</c:f>
              <c:strCache>
                <c:ptCount val="2"/>
                <c:pt idx="0">
                  <c:v>Particular</c:v>
                </c:pt>
                <c:pt idx="1">
                  <c:v>Oficial</c:v>
                </c:pt>
              </c:strCache>
            </c:strRef>
          </c:cat>
          <c:val>
            <c:numRef>
              <c:f>Hoja1!$F$2:$F$3</c:f>
              <c:numCache>
                <c:formatCode>General</c:formatCode>
                <c:ptCount val="2"/>
                <c:pt idx="0">
                  <c:v>4</c:v>
                </c:pt>
                <c:pt idx="1">
                  <c:v>4</c:v>
                </c:pt>
              </c:numCache>
            </c:numRef>
          </c:val>
        </c:ser>
        <c:ser>
          <c:idx val="5"/>
          <c:order val="5"/>
          <c:tx>
            <c:strRef>
              <c:f>Hoja1!$G$1</c:f>
              <c:strCache>
                <c:ptCount val="1"/>
                <c:pt idx="0">
                  <c:v>Conserje</c:v>
                </c:pt>
              </c:strCache>
            </c:strRef>
          </c:tx>
          <c:spPr>
            <a:solidFill>
              <a:schemeClr val="accent6"/>
            </a:solidFill>
            <a:ln>
              <a:noFill/>
            </a:ln>
            <a:effectLst/>
          </c:spPr>
          <c:invertIfNegative val="0"/>
          <c:cat>
            <c:strRef>
              <c:f>Hoja1!$A$2:$A$3</c:f>
              <c:strCache>
                <c:ptCount val="2"/>
                <c:pt idx="0">
                  <c:v>Particular</c:v>
                </c:pt>
                <c:pt idx="1">
                  <c:v>Oficial</c:v>
                </c:pt>
              </c:strCache>
            </c:strRef>
          </c:cat>
          <c:val>
            <c:numRef>
              <c:f>Hoja1!$G$2:$G$3</c:f>
              <c:numCache>
                <c:formatCode>General</c:formatCode>
                <c:ptCount val="2"/>
                <c:pt idx="0">
                  <c:v>3</c:v>
                </c:pt>
                <c:pt idx="1">
                  <c:v>2</c:v>
                </c:pt>
              </c:numCache>
            </c:numRef>
          </c:val>
        </c:ser>
        <c:dLbls>
          <c:showLegendKey val="0"/>
          <c:showVal val="0"/>
          <c:showCatName val="0"/>
          <c:showSerName val="0"/>
          <c:showPercent val="0"/>
          <c:showBubbleSize val="0"/>
        </c:dLbls>
        <c:gapWidth val="150"/>
        <c:axId val="-1419226688"/>
        <c:axId val="-1419215808"/>
      </c:barChart>
      <c:catAx>
        <c:axId val="-1419226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9215808"/>
        <c:crosses val="autoZero"/>
        <c:auto val="1"/>
        <c:lblAlgn val="ctr"/>
        <c:lblOffset val="100"/>
        <c:noMultiLvlLbl val="0"/>
      </c:catAx>
      <c:valAx>
        <c:axId val="-1419215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419226688"/>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sz="1000" b="1"/>
              <a:t>Gráfica</a:t>
            </a:r>
            <a:r>
              <a:rPr lang="es-MX" sz="1000" b="1" baseline="0"/>
              <a:t> 7. Elementos del clima de escuelas de AL y BL</a:t>
            </a:r>
            <a:endParaRPr lang="es-MX" sz="1000" b="1"/>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Se incorporan los padres de familia en las actividades de la escuela</c:v>
                </c:pt>
              </c:strCache>
            </c:strRef>
          </c:tx>
          <c:spPr>
            <a:solidFill>
              <a:schemeClr val="accent1"/>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Hoja1!$B$2:$B$9</c:f>
              <c:numCache>
                <c:formatCode>General</c:formatCode>
                <c:ptCount val="8"/>
                <c:pt idx="0">
                  <c:v>6</c:v>
                </c:pt>
                <c:pt idx="1">
                  <c:v>3</c:v>
                </c:pt>
                <c:pt idx="2">
                  <c:v>4</c:v>
                </c:pt>
                <c:pt idx="3">
                  <c:v>3</c:v>
                </c:pt>
                <c:pt idx="4">
                  <c:v>4</c:v>
                </c:pt>
                <c:pt idx="5">
                  <c:v>4</c:v>
                </c:pt>
                <c:pt idx="6">
                  <c:v>4</c:v>
                </c:pt>
                <c:pt idx="7">
                  <c:v>4</c:v>
                </c:pt>
              </c:numCache>
            </c:numRef>
          </c:val>
        </c:ser>
        <c:ser>
          <c:idx val="1"/>
          <c:order val="1"/>
          <c:tx>
            <c:strRef>
              <c:f>Hoja1!$C$1</c:f>
              <c:strCache>
                <c:ptCount val="1"/>
                <c:pt idx="0">
                  <c:v>No se incorporan los padres de familia en las actividades de la escuela</c:v>
                </c:pt>
              </c:strCache>
            </c:strRef>
          </c:tx>
          <c:spPr>
            <a:solidFill>
              <a:schemeClr val="accent2"/>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Hoja1!$C$2:$C$9</c:f>
              <c:numCache>
                <c:formatCode>General</c:formatCode>
                <c:ptCount val="8"/>
                <c:pt idx="0">
                  <c:v>1</c:v>
                </c:pt>
                <c:pt idx="1">
                  <c:v>0</c:v>
                </c:pt>
                <c:pt idx="2">
                  <c:v>1</c:v>
                </c:pt>
                <c:pt idx="3">
                  <c:v>2</c:v>
                </c:pt>
                <c:pt idx="4">
                  <c:v>1</c:v>
                </c:pt>
                <c:pt idx="5">
                  <c:v>1</c:v>
                </c:pt>
                <c:pt idx="6">
                  <c:v>0</c:v>
                </c:pt>
                <c:pt idx="7">
                  <c:v>1</c:v>
                </c:pt>
              </c:numCache>
            </c:numRef>
          </c:val>
        </c:ser>
        <c:ser>
          <c:idx val="2"/>
          <c:order val="2"/>
          <c:tx>
            <c:strRef>
              <c:f>Hoja1!$D$1</c:f>
              <c:strCache>
                <c:ptCount val="1"/>
                <c:pt idx="0">
                  <c:v>Existe apoyo mutuo entre profesores dentro de la escuela</c:v>
                </c:pt>
              </c:strCache>
            </c:strRef>
          </c:tx>
          <c:spPr>
            <a:solidFill>
              <a:schemeClr val="accent3"/>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Hoja1!$D$2:$D$9</c:f>
              <c:numCache>
                <c:formatCode>General</c:formatCode>
                <c:ptCount val="8"/>
                <c:pt idx="0">
                  <c:v>7</c:v>
                </c:pt>
                <c:pt idx="1">
                  <c:v>3</c:v>
                </c:pt>
                <c:pt idx="2">
                  <c:v>4</c:v>
                </c:pt>
                <c:pt idx="3">
                  <c:v>3</c:v>
                </c:pt>
                <c:pt idx="4">
                  <c:v>3</c:v>
                </c:pt>
                <c:pt idx="5">
                  <c:v>3</c:v>
                </c:pt>
                <c:pt idx="6">
                  <c:v>4</c:v>
                </c:pt>
                <c:pt idx="7">
                  <c:v>5</c:v>
                </c:pt>
              </c:numCache>
            </c:numRef>
          </c:val>
        </c:ser>
        <c:ser>
          <c:idx val="3"/>
          <c:order val="3"/>
          <c:tx>
            <c:strRef>
              <c:f>Hoja1!$E$1</c:f>
              <c:strCache>
                <c:ptCount val="1"/>
                <c:pt idx="0">
                  <c:v>NO existe apoyo mutuo entre profesores dentro de la escuela</c:v>
                </c:pt>
              </c:strCache>
            </c:strRef>
          </c:tx>
          <c:spPr>
            <a:solidFill>
              <a:schemeClr val="accent4"/>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Hoja1!$E$2:$E$9</c:f>
              <c:numCache>
                <c:formatCode>General</c:formatCode>
                <c:ptCount val="8"/>
                <c:pt idx="0">
                  <c:v>0</c:v>
                </c:pt>
                <c:pt idx="1">
                  <c:v>0</c:v>
                </c:pt>
                <c:pt idx="2">
                  <c:v>1</c:v>
                </c:pt>
                <c:pt idx="3">
                  <c:v>2</c:v>
                </c:pt>
                <c:pt idx="4">
                  <c:v>2</c:v>
                </c:pt>
                <c:pt idx="5">
                  <c:v>2</c:v>
                </c:pt>
                <c:pt idx="6">
                  <c:v>0</c:v>
                </c:pt>
                <c:pt idx="7">
                  <c:v>0</c:v>
                </c:pt>
              </c:numCache>
            </c:numRef>
          </c:val>
        </c:ser>
        <c:ser>
          <c:idx val="4"/>
          <c:order val="4"/>
          <c:tx>
            <c:strRef>
              <c:f>Hoja1!$F$1</c:f>
              <c:strCache>
                <c:ptCount val="1"/>
                <c:pt idx="0">
                  <c:v>Los profesores estàn contentos de trabajar en esta escuela</c:v>
                </c:pt>
              </c:strCache>
            </c:strRef>
          </c:tx>
          <c:spPr>
            <a:solidFill>
              <a:schemeClr val="accent5"/>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Hoja1!$F$2:$F$9</c:f>
              <c:numCache>
                <c:formatCode>General</c:formatCode>
                <c:ptCount val="8"/>
                <c:pt idx="0">
                  <c:v>6</c:v>
                </c:pt>
                <c:pt idx="1">
                  <c:v>3</c:v>
                </c:pt>
                <c:pt idx="2">
                  <c:v>4</c:v>
                </c:pt>
                <c:pt idx="3">
                  <c:v>3</c:v>
                </c:pt>
                <c:pt idx="4">
                  <c:v>4</c:v>
                </c:pt>
                <c:pt idx="5">
                  <c:v>4</c:v>
                </c:pt>
                <c:pt idx="6">
                  <c:v>4</c:v>
                </c:pt>
                <c:pt idx="7">
                  <c:v>4</c:v>
                </c:pt>
              </c:numCache>
            </c:numRef>
          </c:val>
        </c:ser>
        <c:ser>
          <c:idx val="5"/>
          <c:order val="5"/>
          <c:tx>
            <c:strRef>
              <c:f>Hoja1!$G$1</c:f>
              <c:strCache>
                <c:ptCount val="1"/>
                <c:pt idx="0">
                  <c:v>Los profesores NO estan contentos de trabajar en esta escuela</c:v>
                </c:pt>
              </c:strCache>
            </c:strRef>
          </c:tx>
          <c:spPr>
            <a:solidFill>
              <a:schemeClr val="accent6"/>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Hoja1!$G$2:$G$9</c:f>
              <c:numCache>
                <c:formatCode>General</c:formatCode>
                <c:ptCount val="8"/>
                <c:pt idx="0">
                  <c:v>1</c:v>
                </c:pt>
                <c:pt idx="1">
                  <c:v>0</c:v>
                </c:pt>
                <c:pt idx="2">
                  <c:v>1</c:v>
                </c:pt>
                <c:pt idx="3">
                  <c:v>2</c:v>
                </c:pt>
                <c:pt idx="4">
                  <c:v>1</c:v>
                </c:pt>
                <c:pt idx="5">
                  <c:v>1</c:v>
                </c:pt>
                <c:pt idx="6">
                  <c:v>0</c:v>
                </c:pt>
                <c:pt idx="7">
                  <c:v>1</c:v>
                </c:pt>
              </c:numCache>
            </c:numRef>
          </c:val>
        </c:ser>
        <c:ser>
          <c:idx val="6"/>
          <c:order val="6"/>
          <c:tx>
            <c:strRef>
              <c:f>Hoja1!$H$1</c:f>
              <c:strCache>
                <c:ptCount val="1"/>
                <c:pt idx="0">
                  <c:v>Existe una buena comunicación entre los miembros de la comunidad escolar</c:v>
                </c:pt>
              </c:strCache>
            </c:strRef>
          </c:tx>
          <c:spPr>
            <a:solidFill>
              <a:schemeClr val="accent1">
                <a:lumMod val="60000"/>
              </a:schemeClr>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Hoja1!$H$2:$H$9</c:f>
              <c:numCache>
                <c:formatCode>General</c:formatCode>
                <c:ptCount val="8"/>
                <c:pt idx="0">
                  <c:v>6</c:v>
                </c:pt>
                <c:pt idx="1">
                  <c:v>3</c:v>
                </c:pt>
                <c:pt idx="2">
                  <c:v>4</c:v>
                </c:pt>
                <c:pt idx="3">
                  <c:v>3</c:v>
                </c:pt>
                <c:pt idx="4">
                  <c:v>3</c:v>
                </c:pt>
                <c:pt idx="5">
                  <c:v>3</c:v>
                </c:pt>
                <c:pt idx="6">
                  <c:v>4</c:v>
                </c:pt>
                <c:pt idx="7">
                  <c:v>5</c:v>
                </c:pt>
              </c:numCache>
            </c:numRef>
          </c:val>
        </c:ser>
        <c:ser>
          <c:idx val="7"/>
          <c:order val="7"/>
          <c:tx>
            <c:strRef>
              <c:f>Hoja1!$I$1</c:f>
              <c:strCache>
                <c:ptCount val="1"/>
                <c:pt idx="0">
                  <c:v>NO existe una buena comunicación entre los miembros de la comunidad escolar</c:v>
                </c:pt>
              </c:strCache>
            </c:strRef>
          </c:tx>
          <c:spPr>
            <a:solidFill>
              <a:schemeClr val="accent2">
                <a:lumMod val="60000"/>
              </a:schemeClr>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Hoja1!$I$2:$I$9</c:f>
              <c:numCache>
                <c:formatCode>General</c:formatCode>
                <c:ptCount val="8"/>
                <c:pt idx="0">
                  <c:v>1</c:v>
                </c:pt>
                <c:pt idx="1">
                  <c:v>0</c:v>
                </c:pt>
                <c:pt idx="2">
                  <c:v>1</c:v>
                </c:pt>
                <c:pt idx="3">
                  <c:v>2</c:v>
                </c:pt>
                <c:pt idx="4">
                  <c:v>2</c:v>
                </c:pt>
                <c:pt idx="5">
                  <c:v>2</c:v>
                </c:pt>
                <c:pt idx="6">
                  <c:v>0</c:v>
                </c:pt>
                <c:pt idx="7">
                  <c:v>0</c:v>
                </c:pt>
              </c:numCache>
            </c:numRef>
          </c:val>
        </c:ser>
        <c:ser>
          <c:idx val="8"/>
          <c:order val="8"/>
          <c:tx>
            <c:strRef>
              <c:f>Hoja1!$J$1</c:f>
              <c:strCache>
                <c:ptCount val="1"/>
                <c:pt idx="0">
                  <c:v>El equipo directivo apoya de manera puntual al equipo de profesores </c:v>
                </c:pt>
              </c:strCache>
            </c:strRef>
          </c:tx>
          <c:spPr>
            <a:solidFill>
              <a:schemeClr val="accent3">
                <a:lumMod val="60000"/>
              </a:schemeClr>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Hoja1!$J$2:$J$9</c:f>
              <c:numCache>
                <c:formatCode>General</c:formatCode>
                <c:ptCount val="8"/>
                <c:pt idx="0">
                  <c:v>6</c:v>
                </c:pt>
                <c:pt idx="1">
                  <c:v>3</c:v>
                </c:pt>
                <c:pt idx="2">
                  <c:v>4</c:v>
                </c:pt>
                <c:pt idx="3">
                  <c:v>3</c:v>
                </c:pt>
                <c:pt idx="4">
                  <c:v>3</c:v>
                </c:pt>
                <c:pt idx="5">
                  <c:v>4</c:v>
                </c:pt>
                <c:pt idx="6">
                  <c:v>2</c:v>
                </c:pt>
                <c:pt idx="7">
                  <c:v>5</c:v>
                </c:pt>
              </c:numCache>
            </c:numRef>
          </c:val>
        </c:ser>
        <c:ser>
          <c:idx val="9"/>
          <c:order val="9"/>
          <c:tx>
            <c:strRef>
              <c:f>Hoja1!$K$1</c:f>
              <c:strCache>
                <c:ptCount val="1"/>
                <c:pt idx="0">
                  <c:v>El equipo Directivo NO apoya de manera puntual al equipo de profesores </c:v>
                </c:pt>
              </c:strCache>
            </c:strRef>
          </c:tx>
          <c:spPr>
            <a:solidFill>
              <a:schemeClr val="accent4">
                <a:lumMod val="60000"/>
              </a:schemeClr>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Hoja1!$K$2:$K$9</c:f>
              <c:numCache>
                <c:formatCode>General</c:formatCode>
                <c:ptCount val="8"/>
                <c:pt idx="0">
                  <c:v>1</c:v>
                </c:pt>
                <c:pt idx="1">
                  <c:v>0</c:v>
                </c:pt>
                <c:pt idx="2">
                  <c:v>1</c:v>
                </c:pt>
                <c:pt idx="3">
                  <c:v>2</c:v>
                </c:pt>
                <c:pt idx="4">
                  <c:v>2</c:v>
                </c:pt>
                <c:pt idx="5">
                  <c:v>1</c:v>
                </c:pt>
                <c:pt idx="6">
                  <c:v>2</c:v>
                </c:pt>
                <c:pt idx="7">
                  <c:v>0</c:v>
                </c:pt>
              </c:numCache>
            </c:numRef>
          </c:val>
        </c:ser>
        <c:ser>
          <c:idx val="10"/>
          <c:order val="10"/>
          <c:tx>
            <c:strRef>
              <c:f>Hoja1!$L$1</c:f>
              <c:strCache>
                <c:ptCount val="1"/>
                <c:pt idx="0">
                  <c:v>Existe libertad tanto para que los profesores, padres de familia, alumnos, hablen con confianza de lo que piensan </c:v>
                </c:pt>
              </c:strCache>
            </c:strRef>
          </c:tx>
          <c:spPr>
            <a:solidFill>
              <a:schemeClr val="accent5">
                <a:lumMod val="60000"/>
              </a:schemeClr>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Hoja1!$L$2:$L$9</c:f>
              <c:numCache>
                <c:formatCode>General</c:formatCode>
                <c:ptCount val="8"/>
                <c:pt idx="0">
                  <c:v>7</c:v>
                </c:pt>
                <c:pt idx="1">
                  <c:v>3</c:v>
                </c:pt>
                <c:pt idx="2">
                  <c:v>4</c:v>
                </c:pt>
                <c:pt idx="3">
                  <c:v>3</c:v>
                </c:pt>
                <c:pt idx="4">
                  <c:v>3</c:v>
                </c:pt>
                <c:pt idx="5">
                  <c:v>4</c:v>
                </c:pt>
                <c:pt idx="6">
                  <c:v>3</c:v>
                </c:pt>
                <c:pt idx="7">
                  <c:v>5</c:v>
                </c:pt>
              </c:numCache>
            </c:numRef>
          </c:val>
        </c:ser>
        <c:ser>
          <c:idx val="11"/>
          <c:order val="11"/>
          <c:tx>
            <c:strRef>
              <c:f>Hoja1!$M$1</c:f>
              <c:strCache>
                <c:ptCount val="1"/>
                <c:pt idx="0">
                  <c:v>NO existe libertad tanto para que los profesores, padres de familia, alumnos, hablen con confianza de lo que piensan </c:v>
                </c:pt>
              </c:strCache>
            </c:strRef>
          </c:tx>
          <c:spPr>
            <a:solidFill>
              <a:schemeClr val="accent6">
                <a:lumMod val="60000"/>
              </a:schemeClr>
            </a:solidFill>
            <a:ln>
              <a:noFill/>
            </a:ln>
            <a:effectLst/>
          </c:spPr>
          <c:invertIfNegative val="0"/>
          <c:cat>
            <c:strRef>
              <c:f>Hoja1!$A$2:$A$9</c:f>
              <c:strCache>
                <c:ptCount val="8"/>
                <c:pt idx="0">
                  <c:v>DF ALTO</c:v>
                </c:pt>
                <c:pt idx="1">
                  <c:v>DF BAJO</c:v>
                </c:pt>
                <c:pt idx="2">
                  <c:v>DGO ALTO</c:v>
                </c:pt>
                <c:pt idx="3">
                  <c:v>DGO BAJO</c:v>
                </c:pt>
                <c:pt idx="4">
                  <c:v>OAX ALTO</c:v>
                </c:pt>
                <c:pt idx="5">
                  <c:v>OAX BAJO</c:v>
                </c:pt>
                <c:pt idx="6">
                  <c:v>SON ALTO</c:v>
                </c:pt>
                <c:pt idx="7">
                  <c:v>SON BAJO</c:v>
                </c:pt>
              </c:strCache>
            </c:strRef>
          </c:cat>
          <c:val>
            <c:numRef>
              <c:f>Hoja1!$M$2:$M$9</c:f>
              <c:numCache>
                <c:formatCode>General</c:formatCode>
                <c:ptCount val="8"/>
                <c:pt idx="0">
                  <c:v>0</c:v>
                </c:pt>
                <c:pt idx="1">
                  <c:v>0</c:v>
                </c:pt>
                <c:pt idx="2">
                  <c:v>1</c:v>
                </c:pt>
                <c:pt idx="3">
                  <c:v>2</c:v>
                </c:pt>
                <c:pt idx="4">
                  <c:v>2</c:v>
                </c:pt>
                <c:pt idx="5">
                  <c:v>1</c:v>
                </c:pt>
                <c:pt idx="6">
                  <c:v>1</c:v>
                </c:pt>
                <c:pt idx="7">
                  <c:v>0</c:v>
                </c:pt>
              </c:numCache>
            </c:numRef>
          </c:val>
        </c:ser>
        <c:dLbls>
          <c:showLegendKey val="0"/>
          <c:showVal val="0"/>
          <c:showCatName val="0"/>
          <c:showSerName val="0"/>
          <c:showPercent val="0"/>
          <c:showBubbleSize val="0"/>
        </c:dLbls>
        <c:gapWidth val="219"/>
        <c:overlap val="-27"/>
        <c:axId val="-2097398896"/>
        <c:axId val="-2097398352"/>
      </c:barChart>
      <c:catAx>
        <c:axId val="-2097398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097398352"/>
        <c:crosses val="autoZero"/>
        <c:auto val="1"/>
        <c:lblAlgn val="ctr"/>
        <c:lblOffset val="100"/>
        <c:noMultiLvlLbl val="0"/>
      </c:catAx>
      <c:valAx>
        <c:axId val="-2097398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20973988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Lou16</b:Tag>
    <b:SourceType>DocumentFromInternetSite</b:SourceType>
    <b:Guid>{418529C9-516A-4683-AD76-D072D270CE3E}</b:Guid>
    <b:Author>
      <b:Author>
        <b:NameList>
          <b:Person>
            <b:Last>Ibarra</b:Last>
            <b:First>Lourdes</b:First>
          </b:Person>
        </b:NameList>
      </b:Author>
    </b:Author>
    <b:Title>Psicologia Online</b:Title>
    <b:Year>2016</b:Year>
    <b:Month>Enero</b:Month>
    <b:Day>30</b:Day>
    <b:URL>http://www.psicologia-online.com/articulos/2006/comunicacion_escuela.shtml</b:URL>
    <b:RefOrder>7</b:RefOrder>
  </b:Source>
  <b:Source>
    <b:Tag>FeB14</b:Tag>
    <b:SourceType>DocumentFromInternetSite</b:SourceType>
    <b:Guid>{1D696E41-6F44-4A54-8F15-6DA8EB37D824}</b:Guid>
    <b:Author>
      <b:Author>
        <b:NameList>
          <b:Person>
            <b:Last>Fe</b:Last>
            <b:First>Bernardo</b:First>
            <b:Middle>F. Báez de la</b:Middle>
          </b:Person>
        </b:NameList>
      </b:Author>
    </b:Author>
    <b:Title>Revista Iberoamericana de Educación 2014</b:Title>
    <b:InternetSiteTitle>El movimiento de las escuelas eficaces: implicaciones para la innovación educativa</b:InternetSiteTitle>
    <b:URL>http://rieoei.org/oeivirt/rie04a04.htm</b:URL>
    <b:YearAccessed>2014</b:YearAccessed>
    <b:MonthAccessed>Noviembre</b:MonthAccessed>
    <b:DayAccessed>20</b:DayAccessed>
    <b:JournalName>Revista Iberoamericana de Educación</b:JournalName>
    <b:RefOrder>4</b:RefOrder>
  </b:Source>
  <b:Source>
    <b:Tag>Pam14</b:Tag>
    <b:SourceType>DocumentFromInternetSite</b:SourceType>
    <b:Guid>{8F0EB314-679C-5342-8480-F8A9ACB0F048}</b:Guid>
    <b:Author>
      <b:Author>
        <b:NameList>
          <b:Person>
            <b:Last>Pam Sammons</b:Last>
            <b:First>Josh</b:First>
            <b:Middle>Hilman, Peter Mortimore</b:Middle>
          </b:Person>
        </b:NameList>
      </b:Author>
    </b:Author>
    <b:Title>Características clave de las escuelas efectivas </b:Title>
    <b:URL>http://www.setab.gob.mx/php/documentos/tecte13-14/16sammonscaracteristicasclave.pdf </b:URL>
    <b:YearAccessed>2014</b:YearAccessed>
    <b:MonthAccessed>Noviembre</b:MonthAccessed>
    <b:DayAccessed>20</b:DayAccessed>
    <b:RefOrder>5</b:RefOrder>
  </b:Source>
  <b:Source>
    <b:Tag>Paz03</b:Tag>
    <b:SourceType>Book</b:SourceType>
    <b:Guid>{E46B1CCE-2E0F-45BC-9F2D-F987F02C0015}</b:Guid>
    <b:LCID>uz-Cyrl-UZ</b:LCID>
    <b:Author>
      <b:Author>
        <b:NameList>
          <b:Person>
            <b:Last>Sandin Paz</b:Last>
            <b:First>Esteban</b:First>
          </b:Person>
        </b:NameList>
      </b:Author>
    </b:Author>
    <b:Title>Investigacion Cualitativa en Educacion</b:Title>
    <b:Year>2003</b:Year>
    <b:City>España</b:City>
    <b:Publisher>Mc Graw Hill</b:Publisher>
    <b:RefOrder>8</b:RefOrder>
  </b:Source>
  <b:Source>
    <b:Tag>Bis04</b:Tag>
    <b:SourceType>Book</b:SourceType>
    <b:Guid>{153902C3-2226-486B-B226-DFBF83F00654}</b:Guid>
    <b:LCID>uz-Cyrl-UZ</b:LCID>
    <b:Author>
      <b:Author>
        <b:NameList>
          <b:Person>
            <b:Last>Bisquerra Alzina</b:Last>
            <b:First>Rafael</b:First>
          </b:Person>
        </b:NameList>
      </b:Author>
    </b:Author>
    <b:Title>Metodologia de la investigacion educativa</b:Title>
    <b:Year>2004</b:Year>
    <b:City>Madrid</b:City>
    <b:Publisher>La Muralla</b:Publisher>
    <b:RefOrder>9</b:RefOrder>
  </b:Source>
  <b:Source>
    <b:Tag>Gom</b:Tag>
    <b:SourceType>Book</b:SourceType>
    <b:Guid>{E41A3A6B-A92A-4BCF-9441-B7190E80A164}</b:Guid>
    <b:LCID>uz-Cyrl-UZ</b:LCID>
    <b:Author>
      <b:Author>
        <b:NameList>
          <b:Person>
            <b:Last>Gomez M</b:Last>
            <b:First>Marcelo</b:First>
          </b:Person>
        </b:NameList>
      </b:Author>
    </b:Author>
    <b:Title>Introduccion a la metodologia de la investigacion cientifica</b:Title>
    <b:Year>2006</b:Year>
    <b:City>Argentina</b:City>
    <b:Publisher>Brujas</b:Publisher>
    <b:RefOrder>6</b:RefOrder>
  </b:Source>
  <b:Source>
    <b:Tag>Ace</b:Tag>
    <b:SourceType>Book</b:SourceType>
    <b:Guid>{1348EF33-0180-403B-802F-B34C0E67C61C}</b:Guid>
    <b:LCID>uz-Cyrl-UZ</b:LCID>
    <b:Author>
      <b:Author>
        <b:NameList>
          <b:Person>
            <b:Last>Alejandro</b:Last>
            <b:First>Acevedo</b:First>
          </b:Person>
        </b:NameList>
      </b:Author>
    </b:Author>
    <b:Title>El proceso de la entrevista: conceptos y metodos</b:Title>
    <b:Publisher>Noriega</b:Publisher>
    <b:RefOrder>10</b:RefOrder>
  </b:Source>
  <b:Source>
    <b:Tag>SEP03</b:Tag>
    <b:SourceType>InternetSite</b:SourceType>
    <b:Guid>{5AB097A4-01EA-4AEF-BB06-E1140DA17680}</b:Guid>
    <b:LCID>uz-Cyrl-UZ</b:LCID>
    <b:Author>
      <b:Author>
        <b:NameList>
          <b:Person>
            <b:Last>SEP-SNTE</b:Last>
          </b:Person>
        </b:NameList>
      </b:Author>
    </b:Author>
    <b:Year>2003</b:Year>
    <b:YearAccessed>2013</b:YearAccessed>
    <b:MonthAccessed>Febrero</b:MonthAccessed>
    <b:DayAccessed>18</b:DayAccessed>
    <b:URL>http://www.sep.gob.mx/work/models/sep1/Resource/126652/1/ANTOLOGIAGESTION.pdf</b:URL>
    <b:RefOrder>11</b:RefOrder>
  </b:Source>
  <b:Source>
    <b:Tag>Poz05</b:Tag>
    <b:SourceType>Book</b:SourceType>
    <b:Guid>{74E27B10-6BF5-4ACD-A3DA-AA4C8B8C97D9}</b:Guid>
    <b:LCID>uz-Cyrl-UZ</b:LCID>
    <b:Author>
      <b:Author>
        <b:NameList>
          <b:Person>
            <b:Last>Pozner</b:Last>
            <b:First>de</b:First>
            <b:Middle>Weinberg Pilar</b:Middle>
          </b:Person>
        </b:NameList>
      </b:Author>
    </b:Author>
    <b:Title>El directivo como gestor de aprendizajes escolares</b:Title>
    <b:Year>2005</b:Year>
    <b:City>Argentina</b:City>
    <b:Publisher>AIQUE</b:Publisher>
    <b:RefOrder>12</b:RefOrder>
  </b:Source>
  <b:Source>
    <b:Tag>Cam13</b:Tag>
    <b:SourceType>InternetSite</b:SourceType>
    <b:Guid>{DE205466-B2F4-4579-9615-691E432F9050}</b:Guid>
    <b:LCID>uz-Cyrl-UZ</b:LCID>
    <b:Author>
      <b:Author>
        <b:NameList>
          <b:Person>
            <b:Last>Educación</b:Last>
            <b:First>Reglamento</b:First>
            <b:Middle>de la Ley General de</b:Middle>
          </b:Person>
        </b:NameList>
      </b:Author>
    </b:Author>
    <b:YearAccessed>2013</b:YearAccessed>
    <b:MonthAccessed>Febrero</b:MonthAccessed>
    <b:DayAccessed>18</b:DayAccessed>
    <b:URL>http://www.oei.es/quipu/peru/Reglamento_ley_educ.pdf</b:URL>
    <b:Title>OEI</b:Title>
    <b:Year>1993</b:Year>
    <b:RefOrder>13</b:RefOrder>
  </b:Source>
  <b:Source>
    <b:Tag>ENL13</b:Tag>
    <b:SourceType>InternetSite</b:SourceType>
    <b:Guid>{48D796B2-F97F-48A7-B5D4-FCC18FB0BA19}</b:Guid>
    <b:LCID>uz-Cyrl-UZ</b:LCID>
    <b:Author>
      <b:Author>
        <b:NameList>
          <b:Person>
            <b:Last>ENLACE</b:Last>
          </b:Person>
        </b:NameList>
      </b:Author>
    </b:Author>
    <b:YearAccessed>2013</b:YearAccessed>
    <b:MonthAccessed>Febrero</b:MonthAccessed>
    <b:DayAccessed>18</b:DayAccessed>
    <b:URL>http://www.enlace.sep.gob.mx/ba/caracteristicas/</b:URL>
    <b:RefOrder>14</b:RefOrder>
  </b:Source>
  <b:Source>
    <b:Tag>San96</b:Tag>
    <b:SourceType>Book</b:SourceType>
    <b:Guid>{6EBF9DC0-4FAB-B74D-8115-976C412B8461}</b:Guid>
    <b:Author>
      <b:Author>
        <b:NameList>
          <b:Person>
            <b:Last>Santos Guerra</b:Last>
            <b:First>Miguel</b:First>
            <b:Middle>Angel</b:Middle>
          </b:Person>
        </b:NameList>
      </b:Author>
    </b:Author>
    <b:Title>Evaluacion Educativa 2</b:Title>
    <b:City>Buenos Aires</b:City>
    <b:CountryRegion>Argentina</b:CountryRegion>
    <b:Publisher>Magisterio del Rio de la Plata</b:Publisher>
    <b:Year>1996</b:Year>
    <b:Pages>174</b:Pages>
    <b:RefOrder>15</b:RefOrder>
  </b:Source>
  <b:Source>
    <b:Tag>Báe94</b:Tag>
    <b:SourceType>JournalArticle</b:SourceType>
    <b:Guid>{CFB7F032-6040-0749-8346-FCDEFC3AD6E2}</b:Guid>
    <b:Title>El movimiento de escuelas eficaces: Implicaciones para la innovación educativa</b:Title>
    <b:Year>1994</b:Year>
    <b:Author>
      <b:Author>
        <b:NameList>
          <b:Person>
            <b:Last>Báez de la Fe</b:Last>
            <b:First>Bernardo</b:First>
            <b:Middle>F.</b:Middle>
          </b:Person>
        </b:NameList>
      </b:Author>
    </b:Author>
    <b:JournalName>Revista Iberoamericana de Educación</b:JournalName>
    <b:Month>Enero-Abril</b:Month>
    <b:RefOrder>16</b:RefOrder>
  </b:Source>
  <b:Source>
    <b:Tag>Stu87</b:Tag>
    <b:SourceType>Book</b:SourceType>
    <b:Guid>{E228B135-9C61-E340-AB32-073D1E2A21AC}</b:Guid>
    <b:Author>
      <b:Author>
        <b:NameList>
          <b:Person>
            <b:Last>Stufflebeam L.</b:Last>
            <b:First>Daniel</b:First>
          </b:Person>
        </b:NameList>
      </b:Author>
    </b:Author>
    <b:Title>Evaluaciòn sitemàtica</b:Title>
    <b:City>España</b:City>
    <b:CountryRegion>España</b:CountryRegion>
    <b:Publisher>Paidòs</b:Publisher>
    <b:Year>1987</b:Year>
    <b:RefOrder>17</b:RefOrder>
  </b:Source>
  <b:Source>
    <b:Tag>Ges00</b:Tag>
    <b:SourceType>InternetSite</b:SourceType>
    <b:Guid>{858CEB29-97E5-4963-9E84-12DD98D06C75}</b:Guid>
    <b:LCID>uz-Cyrl-UZ</b:LCID>
    <b:Author>
      <b:Author>
        <b:NameList>
          <b:Person>
            <b:Last>Licenciatura en Educación Primaria 6°</b:Last>
            <b:First>Gestión</b:First>
            <b:Middle>Escolar. Programa y materiales de apoyo para el estudio.</b:Middle>
          </b:Person>
        </b:NameList>
      </b:Author>
    </b:Author>
    <b:Year>2000</b:Year>
    <b:YearAccessed>2013</b:YearAccessed>
    <b:MonthAccessed>Febrero</b:MonthAccessed>
    <b:DayAccessed>18</b:DayAccessed>
    <b:URL>http://www.enesonora.edu.mx/plan_estudios/programas/6lep/gestion.pdf</b:URL>
    <b:RefOrder>18</b:RefOrder>
  </b:Source>
  <b:Source>
    <b:Tag>Pam</b:Tag>
    <b:SourceType>DocumentFromInternetSite</b:SourceType>
    <b:Guid>{DFC33569-6906-DA43-9CD2-08BD548A3344}</b:Guid>
    <b:LCID>uz-Cyrl-UZ</b:LCID>
    <b:Author>
      <b:Author>
        <b:NameList>
          <b:Person>
            <b:Last>Pam Sammons</b:Last>
            <b:First>Josh</b:First>
            <b:Middle>Hilman, Peter Mortimore</b:Middle>
          </b:Person>
        </b:NameList>
      </b:Author>
    </b:Author>
    <b:Title>Caracteristicas clave de las escuelas efectivas</b:Title>
    <b:URL>http://portalsej.jalisco.gob.mx/formacion-continua-superacion-profesional/sites/portalsej.jalisco.gob.mx.formacion-continua-superacion-profesional/files/pdf/16sammonscaracteristicasclave.pdf</b:URL>
    <b:YearAccessed>2013</b:YearAccessed>
    <b:MonthAccessed>Julio</b:MonthAccessed>
    <b:DayAccessed>5</b:DayAccessed>
    <b:RefOrder>19</b:RefOrder>
  </b:Source>
  <b:Source>
    <b:Tag>Mer06</b:Tag>
    <b:SourceType>BookSection</b:SourceType>
    <b:Guid>{36C8411A-D95F-8447-8DF0-EF7BCD6894DD}</b:Guid>
    <b:LCID>uz-Cyrl-UZ</b:LCID>
    <b:Author>
      <b:Author>
        <b:NameList>
          <b:Person>
            <b:Last>Mercedes Torres</b:Last>
            <b:First>Estrella</b:First>
          </b:Person>
        </b:NameList>
      </b:Author>
      <b:BookAuthor>
        <b:NameList>
          <b:Person>
            <b:Last>Rivera Morales Alicia</b:Last>
            <b:First>Rivera</b:First>
            <b:Middle>Ferreiro Lucia</b:Middle>
          </b:Person>
        </b:NameList>
      </b:BookAuthor>
    </b:Author>
    <b:Title>El directivo y las escuelas de calidad</b:Title>
    <b:Year>2006</b:Year>
    <b:City>México</b:City>
    <b:Publisher>más textos</b:Publisher>
    <b:BookTitle>Organizacion, Gestión y direccion de instituciones educativas</b:BookTitle>
    <b:RefOrder>20</b:RefOrder>
  </b:Source>
  <b:Source>
    <b:Tag>PISA13</b:Tag>
    <b:SourceType>InternetSite</b:SourceType>
    <b:Guid>{5D1E473F-90EF-4E19-9DC9-E00AA24B1A4B}</b:Guid>
    <b:Author>
      <b:Author>
        <b:NameList>
          <b:Person>
            <b:Last>PISA</b:Last>
          </b:Person>
        </b:NameList>
      </b:Author>
    </b:Author>
    <b:Title>PISA</b:Title>
    <b:YearAccessed>2013</b:YearAccessed>
    <b:MonthAccessed>Diciembre</b:MonthAccessed>
    <b:DayAccessed>5</b:DayAccessed>
    <b:URL>http://www.observatorio.org/comunicados/comun067.html</b:URL>
    <b:RefOrder>21</b:RefOrder>
  </b:Source>
  <b:Source>
    <b:Tag>Sam13</b:Tag>
    <b:SourceType>InternetSite</b:SourceType>
    <b:Guid>{03E35345-016D-4A95-8E80-127DBDEB7CD5}</b:Guid>
    <b:LCID>uz-Cyrl-UZ</b:LCID>
    <b:Author>
      <b:Author>
        <b:NameList>
          <b:Person>
            <b:Last>Sampieri</b:Last>
            <b:First>Hernández</b:First>
            <b:Middle>Roberto</b:Middle>
          </b:Person>
        </b:NameList>
      </b:Author>
    </b:Author>
    <b:YearAccessed>2013</b:YearAccessed>
    <b:MonthAccessed>Febrero</b:MonthAccessed>
    <b:DayAccessed>18</b:DayAccessed>
    <b:URL>http://www.uss.edu.pe/inv/seminter2011/pdf/9-Los_Metodos_Mixtos-Dr._Roberto_Hernandez_Sampieri.pdf</b:URL>
    <b:Year>2010</b:Year>
    <b:RefOrder>22</b:RefOrder>
  </b:Source>
  <b:Source>
    <b:Tag>Med14</b:Tag>
    <b:SourceType>InternetSite</b:SourceType>
    <b:Guid>{1D1B787E-1684-4F6D-B548-038FF8D60B38}</b:Guid>
    <b:Author>
      <b:Author>
        <b:NameList>
          <b:Person>
            <b:Last>Medina</b:Last>
            <b:First>Ermes</b:First>
          </b:Person>
        </b:NameList>
      </b:Author>
    </b:Author>
    <b:Title>Dosis económica</b:Title>
    <b:InternetSiteTitle>El debate</b:InternetSiteTitle>
    <b:YearAccessed>2014</b:YearAccessed>
    <b:MonthAccessed>Enero</b:MonthAccessed>
    <b:DayAccessed>28</b:DayAccessed>
    <b:URL>http://www.debate.com.mx/eldebate/noticias/columnas.asp?IdArt=12775967&amp;IdCat=17162</b:URL>
    <b:Year>2012</b:Year>
    <b:RefOrder>23</b:RefOrder>
  </b:Source>
  <b:Source>
    <b:Tag>INE14</b:Tag>
    <b:SourceType>InternetSite</b:SourceType>
    <b:Guid>{C64EACD2-037C-4613-8C6C-622A3D1EA1A9}</b:Guid>
    <b:Title>INEGI</b:Title>
    <b:InternetSiteTitle>INEGI</b:InternetSiteTitle>
    <b:YearAccessed>2014</b:YearAccessed>
    <b:MonthAccessed>agosto</b:MonthAccessed>
    <b:DayAccessed>25</b:DayAccessed>
    <b:URL>http://www3.inegi.org.mx/sistemas/mexicocifras/default.aspx?e=09</b:URL>
    <b:RefOrder>24</b:RefOrder>
  </b:Source>
  <b:Source>
    <b:Tag>Chi04</b:Tag>
    <b:SourceType>Book</b:SourceType>
    <b:Guid>{703BB15B-8457-4118-9B51-1E51274498DD}</b:Guid>
    <b:Title>Introducción a la teoria general de la administración</b:Title>
    <b:Year>2004</b:Year>
    <b:Author>
      <b:Author>
        <b:NameList>
          <b:Person>
            <b:Last>Chiavenato</b:Last>
            <b:First>Idalberto</b:First>
          </b:Person>
        </b:NameList>
      </b:Author>
    </b:Author>
    <b:Publisher>Mc Graw Hill Interamericana</b:Publisher>
    <b:RefOrder>25</b:RefOrder>
  </b:Source>
  <b:Source>
    <b:Tag>Rob05</b:Tag>
    <b:SourceType>Book</b:SourceType>
    <b:Guid>{6269D7FC-F468-4D35-A441-D20A4E1B8C9B}</b:Guid>
    <b:Author>
      <b:Author>
        <b:NameList>
          <b:Person>
            <b:Last>Robbins Stephen</b:Last>
            <b:First>Coulter</b:First>
            <b:Middle>Mary</b:Middle>
          </b:Person>
        </b:NameList>
      </b:Author>
    </b:Author>
    <b:Title>Administración</b:Title>
    <b:Year>2005</b:Year>
    <b:Publisher>Pearson Educación</b:Publisher>
    <b:RefOrder>26</b:RefOrder>
  </b:Source>
  <b:Source>
    <b:Tag>Hit06</b:Tag>
    <b:SourceType>Book</b:SourceType>
    <b:Guid>{E47C5301-9279-4642-B035-50D17E67E4CB}</b:Guid>
    <b:Author>
      <b:Author>
        <b:NameList>
          <b:Person>
            <b:Last>Hitt Michael</b:Last>
            <b:First>Black</b:First>
            <b:Middle>Stewart y Porter Lyman</b:Middle>
          </b:Person>
        </b:NameList>
      </b:Author>
    </b:Author>
    <b:Title>Administración</b:Title>
    <b:Year>2006</b:Year>
    <b:Publisher>Pearson Educación</b:Publisher>
    <b:RefOrder>27</b:RefOrder>
  </b:Source>
  <b:Source>
    <b:Tag>Díe01</b:Tag>
    <b:SourceType>Book</b:SourceType>
    <b:Guid>{949E4F92-DCC4-4207-BF7C-0B5996EA0B86}</b:Guid>
    <b:Author>
      <b:Author>
        <b:NameList>
          <b:Person>
            <b:Last>Díez de Castro Emilio Pablo</b:Last>
            <b:First>García</b:First>
            <b:Middle>del Junco Julio, Martín Jimenez Francisca y Periáñez Cristobal Rafael</b:Middle>
          </b:Person>
        </b:NameList>
      </b:Author>
    </b:Author>
    <b:Title>Administración y Dirección</b:Title>
    <b:Year>2001</b:Year>
    <b:Publisher>McGraw-Hill Interamericana </b:Publisher>
    <b:RefOrder>28</b:RefOrder>
  </b:Source>
  <b:Source>
    <b:Tag>Adm04</b:Tag>
    <b:SourceType>Book</b:SourceType>
    <b:Guid>{737CC571-E0AF-4392-AAFF-A307F193FF36}</b:Guid>
    <b:Author>
      <b:Author>
        <b:NameList>
          <b:Person>
            <b:Last>Global</b:Last>
            <b:First>Administración</b:First>
            <b:Middle>Un Perspectiva</b:Middle>
          </b:Person>
        </b:NameList>
      </b:Author>
    </b:Author>
    <b:Title> Koontz Harold y Weihrich Heinz</b:Title>
    <b:Year> 2004</b:Year>
    <b:Publisher>McGraw-Hill Interamericana</b:Publisher>
    <b:RefOrder>29</b:RefOrder>
  </b:Source>
  <b:Source>
    <b:Tag>Oli02</b:Tag>
    <b:SourceType>Book</b:SourceType>
    <b:Guid>{350BD857-2D17-4A63-BEE4-984D764DBC00}</b:Guid>
    <b:Author>
      <b:Author>
        <b:NameList>
          <b:Person>
            <b:Last>Reinaldo</b:Last>
            <b:First>Oliveira</b:First>
            <b:Middle>Da Silva</b:Middle>
          </b:Person>
        </b:NameList>
      </b:Author>
    </b:Author>
    <b:Title>Teorias de la Administración</b:Title>
    <b:Year>2002</b:Year>
    <b:Publisher>International Thomson Editores</b:Publisher>
    <b:RefOrder>30</b:RefOrder>
  </b:Source>
  <b:Source>
    <b:Tag>Pla08</b:Tag>
    <b:SourceType>InternetSite</b:SourceType>
    <b:Guid>{69089104-DD69-4D5F-BA9E-7738AD992081}</b:Guid>
    <b:LCID>uz-Cyrl-UZ</b:LCID>
    <b:Author>
      <b:Author>
        <b:NameList>
          <b:Person>
            <b:Last>Plan estrategico de transformación escolar</b:Last>
          </b:Person>
        </b:NameList>
      </b:Author>
    </b:Author>
    <b:Year>2008</b:Year>
    <b:YearAccessed>2013</b:YearAccessed>
    <b:MonthAccessed>Febrero</b:MonthAccessed>
    <b:DayAccessed>18</b:DayAccessed>
    <b:URL>http://basica.sep.gob.mx/pec/pdf/dprograma/3-PETE.pdf</b:URL>
    <b:RefOrder>31</b:RefOrder>
  </b:Source>
  <b:Source>
    <b:Tag>Def14</b:Tag>
    <b:SourceType>InternetSite</b:SourceType>
    <b:Guid>{DAC944A1-1CF9-4A5D-A186-0BA12B42AD45}</b:Guid>
    <b:Title>Definición.de</b:Title>
    <b:YearAccessed>2014</b:YearAccessed>
    <b:MonthAccessed>octubre</b:MonthAccessed>
    <b:DayAccessed>20</b:DayAccessed>
    <b:URL>http://definicion.de/gestion/</b:URL>
    <b:RefOrder>32</b:RefOrder>
  </b:Source>
  <b:Source>
    <b:Tag>Del4</b:Tag>
    <b:SourceType>InternetSite</b:SourceType>
    <b:Guid>{D62E48FD-2496-4D55-A9EA-285F7487FD04}</b:Guid>
    <b:Author>
      <b:Author>
        <b:NameList>
          <b:Person>
            <b:Last>Fuentes</b:Last>
            <b:First>Delfino</b:First>
            <b:Middle>Camacho</b:Middle>
          </b:Person>
        </b:NameList>
      </b:Author>
    </b:Author>
    <b:Title>Competencias directivas para una formación de calidad</b:Title>
    <b:InternetSiteTitle>Primer Congreso Internacional de Transformación Educativa</b:InternetSiteTitle>
    <b:YearAccessed>4</b:YearAccessed>
    <b:MonthAccessed>diciembre</b:MonthAccessed>
    <b:DayAccessed>2014</b:DayAccessed>
    <b:URL>http://www.transformacion-educativa.com/congreso/ponencias/334-competencias-directivas.html</b:URL>
    <b:RefOrder>33</b:RefOrder>
  </b:Source>
  <b:Source>
    <b:Tag>Jih09</b:Tag>
    <b:SourceType>InternetSite</b:SourceType>
    <b:Guid>{E6D4A5C4-7C02-4B43-B6A7-DAADAE2E9AAC}</b:Guid>
    <b:Author>
      <b:Author>
        <b:NameList>
          <b:Person>
            <b:Last>Jihan Ruth García</b:Last>
            <b:First>Poyato</b:First>
            <b:Middle>Falcón</b:Middle>
          </b:Person>
        </b:NameList>
      </b:Author>
    </b:Author>
    <b:Title>Instituto de Investigación y desarrollo educativo</b:Title>
    <b:Year>2009</b:Year>
    <b:YearAccessed>2</b:YearAccessed>
    <b:MonthAccessed>diciembre</b:MonthAccessed>
    <b:DayAccessed>2014</b:DayAccessed>
    <b:URL>http://iide.ens.uabc.mx/blogs/mce/files/2011/03/Tesis-Jihan-Garc%C3%ADa-Poyato.pdf</b:URL>
    <b:RefOrder>34</b:RefOrder>
  </b:Source>
  <b:Source>
    <b:Tag>Lil14</b:Tag>
    <b:SourceType>InternetSite</b:SourceType>
    <b:Guid>{08330FB0-5634-44B2-ACA6-0214FAB49731}</b:Guid>
    <b:Author>
      <b:Author>
        <b:NameList>
          <b:Person>
            <b:Last>Toranzos</b:Last>
            <b:First>Lilia</b:First>
          </b:Person>
        </b:NameList>
      </b:Author>
    </b:Author>
    <b:Title>Revista Iberoamericana de Educación, Número 10- Evaluación de la Calidad de la Educación</b:Title>
    <b:InternetSiteTitle>Organización de Estados Iberoamericanos</b:InternetSiteTitle>
    <b:YearAccessed>2014</b:YearAccessed>
    <b:MonthAccessed>diciembre</b:MonthAccessed>
    <b:DayAccessed>2</b:DayAccessed>
    <b:URL>http://www.rieoei.org/oeivirt/rie10a03.htm</b:URL>
    <b:Year>1996</b:Year>
    <b:RefOrder>1</b:RefOrder>
  </b:Source>
  <b:Source>
    <b:Tag>CAl14</b:Tag>
    <b:SourceType>InternetSite</b:SourceType>
    <b:Guid>{48C721A4-69C8-4E46-B40E-EFE1F1FE66C8}</b:Guid>
    <b:Author>
      <b:Author>
        <b:NameList>
          <b:Person>
            <b:Last>Alvariño∗</b:Last>
            <b:First>C.</b:First>
          </b:Person>
        </b:NameList>
      </b:Author>
    </b:Author>
    <b:Title>GESTIÓN ESCOLAR: UN ESTADO DEL ARTE DE LA LITERATURA</b:Title>
    <b:YearAccessed>2014</b:YearAccessed>
    <b:MonthAccessed>septiembre</b:MonthAccessed>
    <b:DayAccessed>5</b:DayAccessed>
    <b:URL>http://www.colombiaaprende.edu.co/html/home/1592/articles-193360_archivo6.pdf</b:URL>
    <b:Year>2000</b:Year>
    <b:RefOrder>2</b:RefOrder>
  </b:Source>
  <b:Source>
    <b:Tag>GLO14</b:Tag>
    <b:SourceType>InternetSite</b:SourceType>
    <b:Guid>{5947FCBF-9816-4194-9C2A-4A154E8FA18D}</b:Guid>
    <b:Author>
      <b:Author>
        <b:NameList>
          <b:Person>
            <b:Last>Cota</b:Last>
            <b:First>Gloria</b:First>
            <b:Middle>Guadalupe Torres</b:Middle>
          </b:Person>
        </b:NameList>
      </b:Author>
    </b:Author>
    <b:Title>EL PAPEL DE LOS DIRECTIVOS ESCOLARES</b:Title>
    <b:YearAccessed>2014</b:YearAccessed>
    <b:MonthAccessed>diciembre</b:MonthAccessed>
    <b:DayAccessed>2</b:DayAccessed>
    <b:URL>http://www.comie.org.mx/congreso/memoriaelectronica/v10/pdf/area_tematica_13/ponencias/1176-F.pdf</b:URL>
    <b:RefOrder>35</b:RefOrder>
  </b:Source>
  <b:Source>
    <b:Tag>FJa14</b:Tag>
    <b:SourceType>InternetSite</b:SourceType>
    <b:Guid>{173973C7-943E-4148-9E80-83706A92E422}</b:Guid>
    <b:Author>
      <b:Author>
        <b:NameList>
          <b:Person>
            <b:Last>Murillo</b:Last>
            <b:First>F.</b:First>
            <b:Middle>Javier</b:Middle>
          </b:Person>
        </b:NameList>
      </b:Author>
    </b:Author>
    <b:Title>Revista Electrónica Iberoamericana sobre calidad, eficacia y cambio en educación</b:Title>
    <b:InternetSiteTitle>“Una dirección escolar para el cambio: del liderazgo transformacional, al liderazgo distribuido"</b:InternetSiteTitle>
    <b:YearAccessed>2014</b:YearAccessed>
    <b:MonthAccessed>diciembre</b:MonthAccessed>
    <b:DayAccessed>2</b:DayAccessed>
    <b:URL>http://www.rinace.net/arts/vol4num4e/art2.pdf</b:URL>
    <b:Year>2006</b:Year>
    <b:RefOrder>36</b:RefOrder>
  </b:Source>
  <b:Source>
    <b:Tag>Mar06</b:Tag>
    <b:SourceType>InternetSite</b:SourceType>
    <b:Guid>{9636E8A6-6819-42BA-94B3-07136D84F268}</b:Guid>
    <b:Author>
      <b:Author>
        <b:NameList>
          <b:Person>
            <b:Last>Gómez</b:Last>
            <b:First>Marcelo</b:First>
            <b:Middle>M.</b:Middle>
          </b:Person>
        </b:NameList>
      </b:Author>
    </b:Author>
    <b:Year>2006</b:Year>
    <b:YearAccessed>2014</b:YearAccessed>
    <b:MonthAccessed>octubre</b:MonthAccessed>
    <b:DayAccessed>13</b:DayAccessed>
    <b:URL>file:///C:/Documents%20and%20Settings/Toshiba/Mis%20documentos/Downloads/Introducci%C3%B3n%20a%20la%20Metodolog%C3%ADa%20de%20la%20Investigaci%C3%B3n%20Cient%C3%ADfica%20Autor%20Prof.%20Marcelo%20G%C3%B3mez.pdf</b:URL>
    <b:RefOrder>37</b:RefOrder>
  </b:Source>
  <b:Source>
    <b:Tag>Arm03</b:Tag>
    <b:SourceType>JournalArticle</b:SourceType>
    <b:Guid>{5B98D8CC-693E-4CB3-BDF2-2B14FBBF246B}</b:Guid>
    <b:Title> Planeación estratégica y política educativa</b:Title>
    <b:Year>2003</b:Year>
    <b:Author>
      <b:Author>
        <b:NameList>
          <b:Person>
            <b:Last>Loera</b:Last>
            <b:First>Armando</b:First>
          </b:Person>
        </b:NameList>
      </b:Author>
    </b:Author>
    <b:JournalName> Documento de trabajo. México: sep.</b:JournalName>
    <b:RefOrder>38</b:RefOrder>
  </b:Source>
  <b:Source>
    <b:Tag>Jos19</b:Tag>
    <b:SourceType>InternetSite</b:SourceType>
    <b:Guid>{49E7542C-F4CF-47D8-885A-D1A5356EC3D5}</b:Guid>
    <b:Title>Universidad Tangamanga, Revista Electrónica</b:Title>
    <b:Author>
      <b:Author>
        <b:NameList>
          <b:Person>
            <b:Last>Flores</b:Last>
            <b:First>José</b:First>
            <b:Middle>Guadalupe Ramírez</b:Middle>
          </b:Person>
        </b:NameList>
      </b:Author>
    </b:Author>
    <b:InternetSiteTitle> LA IMPORTANCIA DE LA GESTIÓN ESCOLAR PARA EL BUEN FUNCIONAMIENTO DE LAS INSTITUCIONES.</b:InternetSiteTitle>
    <b:YearAccessed>19</b:YearAccessed>
    <b:MonthAccessed>Noviembre</b:MonthAccessed>
    <b:DayAccessed>2014</b:DayAccessed>
    <b:URL>http://www.universidadtangamanga.edu.mx/~revista/index.php?option=com_content&amp;view=article&amp;id=100:ejemplar-4-articulo-5&amp;catid=38:ejemplar-4&amp;Itemid=60</b:URL>
    <b:RefOrder>3</b:RefOrder>
  </b:Source>
  <b:Source>
    <b:Tag>FeB94</b:Tag>
    <b:SourceType>DocumentFromInternetSite</b:SourceType>
    <b:Guid>{E5A607DE-93D1-4A4B-9901-9771AC01EB51}</b:Guid>
    <b:Title>El movimiento de escuelas eficaces: Implicaciones para la innovación educativa</b:Title>
    <b:Year>1994</b:Year>
    <b:Author>
      <b:Author>
        <b:NameList>
          <b:Person>
            <b:Last>Fe</b:Last>
            <b:First>Bernardo</b:First>
            <b:Middle>F. Báez de la</b:Middle>
          </b:Person>
        </b:NameList>
      </b:Author>
    </b:Author>
    <b:JournalName>Revista Iberoamericana de Educación </b:JournalName>
    <b:InternetSiteTitle>Organización de Estados Iberoamericanos, Para la Educacion, la Ciencia y la Cultura</b:InternetSiteTitle>
    <b:Month>Enero- Abril</b:Month>
    <b:URL>http://www.rieoei.org/oeivirt/rie04a04.htm</b:URL>
    <b:RefOrder>39</b:RefOrder>
  </b:Source>
</b:Sources>
</file>

<file path=customXml/itemProps1.xml><?xml version="1.0" encoding="utf-8"?>
<ds:datastoreItem xmlns:ds="http://schemas.openxmlformats.org/officeDocument/2006/customXml" ds:itemID="{3121AE71-016E-4727-8ED4-31CA294AB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2860</Words>
  <Characters>15736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dc:creator>
  <cp:keywords/>
  <dc:description/>
  <cp:lastModifiedBy>ARM</cp:lastModifiedBy>
  <cp:revision>2</cp:revision>
  <dcterms:created xsi:type="dcterms:W3CDTF">2016-01-31T04:21:00Z</dcterms:created>
  <dcterms:modified xsi:type="dcterms:W3CDTF">2016-01-31T04:21:00Z</dcterms:modified>
</cp:coreProperties>
</file>